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8FD3" w14:textId="77777777" w:rsidR="00C9236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Helvetica Neue" w:eastAsia="Helvetica Neue" w:hAnsi="Helvetica Neue" w:cs="Helvetica Neue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 wp14:anchorId="45B85B4B" wp14:editId="4C93305A">
            <wp:extent cx="1065321" cy="1188508"/>
            <wp:effectExtent l="0" t="0" r="0" b="0"/>
            <wp:docPr id="1219299209" name="image1.jpg" descr="GVS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VSA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5321" cy="1188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177346" w14:textId="77777777" w:rsidR="00335B05" w:rsidRDefault="00335B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Helvetica Neue" w:eastAsia="Helvetica Neue" w:hAnsi="Helvetica Neue" w:cs="Helvetica Neue"/>
          <w:b/>
          <w:color w:val="000000"/>
          <w:sz w:val="22"/>
          <w:szCs w:val="22"/>
          <w:u w:val="single"/>
        </w:rPr>
      </w:pPr>
    </w:p>
    <w:p w14:paraId="02FA5C49" w14:textId="5C9FB60A" w:rsidR="00C9236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Helvetica Neue" w:eastAsia="Helvetica Neue" w:hAnsi="Helvetica Neue" w:cs="Helvetica Neue"/>
          <w:b/>
          <w:color w:val="000000"/>
          <w:sz w:val="22"/>
          <w:szCs w:val="22"/>
          <w:u w:val="single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  <w:u w:val="single"/>
        </w:rPr>
        <w:t>GVSA 4v4 Rules and Format</w:t>
      </w:r>
    </w:p>
    <w:p w14:paraId="59B30CB2" w14:textId="77777777" w:rsidR="00C92361" w:rsidRDefault="00C923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44FB0100" w14:textId="77777777" w:rsidR="00C92361" w:rsidRDefault="00000000">
      <w:r>
        <w:t xml:space="preserve">● Field Size: (USSF Recommendations) </w:t>
      </w:r>
    </w:p>
    <w:p w14:paraId="6C6242E6" w14:textId="77777777" w:rsidR="00C92361" w:rsidRDefault="00000000">
      <w:pPr>
        <w:ind w:firstLine="720"/>
      </w:pPr>
      <w:r>
        <w:t>○ 35 yards (length)</w:t>
      </w:r>
    </w:p>
    <w:p w14:paraId="10AD72F6" w14:textId="77777777" w:rsidR="00C92361" w:rsidRDefault="00000000">
      <w:pPr>
        <w:ind w:firstLine="720"/>
      </w:pPr>
      <w:r>
        <w:t xml:space="preserve">○ 25 yards (width) </w:t>
      </w:r>
    </w:p>
    <w:p w14:paraId="691FEF27" w14:textId="77777777" w:rsidR="00C92361" w:rsidRDefault="00000000">
      <w:pPr>
        <w:ind w:firstLine="720"/>
      </w:pPr>
      <w:r>
        <w:t xml:space="preserve">○ Goals should be 4 feet (height) x 6 feet (width) (GVSA recommends Bounce Athletics). </w:t>
      </w:r>
    </w:p>
    <w:p w14:paraId="09269652" w14:textId="77777777" w:rsidR="00C92361" w:rsidRDefault="00000000">
      <w:pPr>
        <w:ind w:firstLine="720"/>
      </w:pPr>
      <w:r>
        <w:t xml:space="preserve">     </w:t>
      </w:r>
      <w:proofErr w:type="spellStart"/>
      <w:r>
        <w:t>Pugg</w:t>
      </w:r>
      <w:proofErr w:type="spellEnd"/>
      <w:r>
        <w:t xml:space="preserve"> goals that are not 4 feet x 6 feet and rectangular are not allowed. </w:t>
      </w:r>
    </w:p>
    <w:p w14:paraId="28617187" w14:textId="5EED32CE" w:rsidR="00C92361" w:rsidRDefault="00000000">
      <w:pPr>
        <w:ind w:firstLine="720"/>
      </w:pPr>
      <w:r>
        <w:t>○ Goal arc must be painted 1 yard from each goal post</w:t>
      </w:r>
      <w:r w:rsidR="004A5980">
        <w:t>,</w:t>
      </w:r>
      <w:r>
        <w:t xml:space="preserve"> forming a half circle.</w:t>
      </w:r>
    </w:p>
    <w:p w14:paraId="3D4D0230" w14:textId="77777777" w:rsidR="00C92361" w:rsidRDefault="00000000">
      <w:pPr>
        <w:ind w:firstLine="720"/>
      </w:pPr>
      <w:r>
        <w:t xml:space="preserve">○ Corner flags are not needed. </w:t>
      </w:r>
    </w:p>
    <w:p w14:paraId="4E59C37A" w14:textId="77777777" w:rsidR="00C92361" w:rsidRDefault="00C92361">
      <w:pPr>
        <w:ind w:firstLine="720"/>
      </w:pPr>
    </w:p>
    <w:p w14:paraId="64AD0991" w14:textId="77777777" w:rsidR="00C92361" w:rsidRDefault="00000000">
      <w:r>
        <w:t xml:space="preserve">● Rules (USSF Recommendations) </w:t>
      </w:r>
    </w:p>
    <w:p w14:paraId="5D54EF3E" w14:textId="77777777" w:rsidR="00C92361" w:rsidRDefault="00000000">
      <w:pPr>
        <w:ind w:firstLine="720"/>
      </w:pPr>
      <w:r>
        <w:t xml:space="preserve">○ Size 4 ball </w:t>
      </w:r>
    </w:p>
    <w:p w14:paraId="1E6B091F" w14:textId="77777777" w:rsidR="00C92361" w:rsidRDefault="00000000">
      <w:pPr>
        <w:ind w:firstLine="720"/>
      </w:pPr>
      <w:r>
        <w:t xml:space="preserve">○ 4v4 (no goalkeepers) </w:t>
      </w:r>
    </w:p>
    <w:p w14:paraId="0B49BDCF" w14:textId="77777777" w:rsidR="00C92361" w:rsidRDefault="00000000">
      <w:pPr>
        <w:ind w:firstLine="720"/>
      </w:pPr>
      <w:r>
        <w:t xml:space="preserve">○ Shin guards are required </w:t>
      </w:r>
    </w:p>
    <w:p w14:paraId="270375FB" w14:textId="77777777" w:rsidR="00C92361" w:rsidRDefault="00000000">
      <w:pPr>
        <w:ind w:firstLine="720"/>
      </w:pPr>
      <w:r>
        <w:t>○ Substitutions are unlimited and can occur at any stoppage.</w:t>
      </w:r>
    </w:p>
    <w:p w14:paraId="4AD1F879" w14:textId="6CE6285A" w:rsidR="00C92361" w:rsidRDefault="00000000">
      <w:pPr>
        <w:ind w:firstLine="720"/>
      </w:pPr>
      <w:r>
        <w:t>○ Kick-offs, free kicks, goal kicks, throw</w:t>
      </w:r>
      <w:r w:rsidR="004A5980">
        <w:t>-in</w:t>
      </w:r>
      <w:r>
        <w:t>s</w:t>
      </w:r>
      <w:r w:rsidR="00335B05">
        <w:t>,</w:t>
      </w:r>
      <w:r>
        <w:t xml:space="preserve"> and corner kicks are used to start or restart </w:t>
      </w:r>
    </w:p>
    <w:p w14:paraId="74360F13" w14:textId="64C38678" w:rsidR="00C92361" w:rsidRDefault="00000000">
      <w:pPr>
        <w:ind w:left="900"/>
      </w:pPr>
      <w:r>
        <w:t>play. Throw</w:t>
      </w:r>
      <w:r w:rsidR="004A5980">
        <w:t>-</w:t>
      </w:r>
      <w:r>
        <w:t>ins must come from behind the head</w:t>
      </w:r>
      <w:r w:rsidR="004A5980">
        <w:t>,</w:t>
      </w:r>
      <w:r>
        <w:t xml:space="preserve"> but the two feet on the ground will not be called. Coaches will continue to educate the players on a proper throw-in. </w:t>
      </w:r>
    </w:p>
    <w:p w14:paraId="58ED32ED" w14:textId="1DDC8236" w:rsidR="00C92361" w:rsidRDefault="00000000">
      <w:pPr>
        <w:ind w:firstLine="720"/>
      </w:pPr>
      <w:r>
        <w:t>○ For goal kicks</w:t>
      </w:r>
      <w:r w:rsidR="004A5980">
        <w:t>,</w:t>
      </w:r>
      <w:r>
        <w:t xml:space="preserve"> the opposing team must start from half field. Once the ball is touched</w:t>
      </w:r>
      <w:r w:rsidR="004A5980">
        <w:t>,</w:t>
      </w:r>
      <w:r>
        <w:t xml:space="preserve"> </w:t>
      </w:r>
    </w:p>
    <w:p w14:paraId="1EC7A503" w14:textId="2F7C0997" w:rsidR="00C92361" w:rsidRDefault="00000000">
      <w:pPr>
        <w:ind w:left="900"/>
      </w:pPr>
      <w:r>
        <w:t xml:space="preserve">the play is live. </w:t>
      </w:r>
    </w:p>
    <w:p w14:paraId="6C1221AE" w14:textId="77777777" w:rsidR="00C92361" w:rsidRDefault="00000000">
      <w:pPr>
        <w:ind w:firstLine="720"/>
      </w:pPr>
      <w:r>
        <w:t xml:space="preserve">○ All free kicks are direct kicks. </w:t>
      </w:r>
    </w:p>
    <w:p w14:paraId="0EA2F5E4" w14:textId="19A48019" w:rsidR="00C92361" w:rsidRDefault="00000000">
      <w:pPr>
        <w:ind w:left="900" w:hanging="180"/>
        <w:rPr>
          <w:color w:val="000000"/>
        </w:rPr>
      </w:pPr>
      <w:r>
        <w:t xml:space="preserve">○ Play within the arc (see field diagram): If a player enters the arc and is neither actively defending </w:t>
      </w:r>
      <w:r w:rsidR="007B373B">
        <w:t>n</w:t>
      </w:r>
      <w:r>
        <w:t>or attacking (Playing as a goalkeeper or cherry</w:t>
      </w:r>
      <w:r w:rsidR="00335B05">
        <w:t>-</w:t>
      </w:r>
      <w:r>
        <w:t>picking)</w:t>
      </w:r>
      <w:r w:rsidR="004A5980">
        <w:t>,</w:t>
      </w:r>
      <w:r>
        <w:t xml:space="preserve"> the referee will remind them to move. If a player(s) is reminded again, the result is a free kick to be taken from </w:t>
      </w:r>
      <w:r w:rsidR="004A5980">
        <w:t xml:space="preserve">the </w:t>
      </w:r>
      <w:r>
        <w:t xml:space="preserve">half field. </w:t>
      </w:r>
    </w:p>
    <w:p w14:paraId="1CBFF20A" w14:textId="77777777" w:rsidR="00C92361" w:rsidRDefault="00000000">
      <w:pPr>
        <w:ind w:left="900" w:hanging="180"/>
      </w:pPr>
      <w:r>
        <w:t>○ A handball results in a free kick.</w:t>
      </w:r>
    </w:p>
    <w:p w14:paraId="0AB524AE" w14:textId="005B87D7" w:rsidR="00C92361" w:rsidRDefault="00000000">
      <w:pPr>
        <w:ind w:left="900" w:hanging="180"/>
      </w:pPr>
      <w:r>
        <w:t xml:space="preserve">○ No </w:t>
      </w:r>
      <w:r w:rsidR="004A5980">
        <w:t>h</w:t>
      </w:r>
      <w:r>
        <w:t>eading the ball</w:t>
      </w:r>
    </w:p>
    <w:p w14:paraId="624CDFC8" w14:textId="77777777" w:rsidR="00C92361" w:rsidRDefault="00000000">
      <w:pPr>
        <w:ind w:firstLine="720"/>
      </w:pPr>
      <w:r>
        <w:t xml:space="preserve">○ Two 20-minute halves with a 5-minute half-time. </w:t>
      </w:r>
    </w:p>
    <w:p w14:paraId="3A31DAD1" w14:textId="77777777" w:rsidR="00C92361" w:rsidRDefault="00000000">
      <w:pPr>
        <w:ind w:left="900" w:hanging="180"/>
      </w:pPr>
      <w:r>
        <w:t>○ Standings will not be posted, and standings will NOT be shared with the clubs. Teams will be moved based on promotion and relegation at the end of the season.</w:t>
      </w:r>
    </w:p>
    <w:p w14:paraId="25A451A1" w14:textId="77777777" w:rsidR="00C92361" w:rsidRDefault="00C92361">
      <w:pPr>
        <w:ind w:firstLine="720"/>
      </w:pPr>
    </w:p>
    <w:p w14:paraId="2BDC4ED4" w14:textId="77777777" w:rsidR="00C92361" w:rsidRDefault="00000000">
      <w:r>
        <w:t xml:space="preserve">● Registration and Roster Requirements </w:t>
      </w:r>
    </w:p>
    <w:p w14:paraId="3DC8DD7A" w14:textId="37DDA565" w:rsidR="00C92361" w:rsidRDefault="00000000">
      <w:pPr>
        <w:ind w:firstLine="720"/>
      </w:pPr>
      <w:r>
        <w:t xml:space="preserve">○ </w:t>
      </w:r>
      <w:r w:rsidRPr="004A5980">
        <w:rPr>
          <w:highlight w:val="yellow"/>
        </w:rPr>
        <w:t xml:space="preserve">Minimum </w:t>
      </w:r>
      <w:r w:rsidR="004A5980" w:rsidRPr="004A5980">
        <w:rPr>
          <w:highlight w:val="yellow"/>
        </w:rPr>
        <w:t xml:space="preserve">4 </w:t>
      </w:r>
      <w:r w:rsidRPr="004A5980">
        <w:rPr>
          <w:highlight w:val="yellow"/>
        </w:rPr>
        <w:t>players</w:t>
      </w:r>
      <w:r>
        <w:t xml:space="preserve">, Maximum 8 players. </w:t>
      </w:r>
    </w:p>
    <w:p w14:paraId="5DE56F94" w14:textId="14A2C06D" w:rsidR="00C92361" w:rsidRDefault="00000000">
      <w:pPr>
        <w:ind w:firstLine="720"/>
      </w:pPr>
      <w:r>
        <w:t xml:space="preserve">○ $125 per team for GVSA fees for </w:t>
      </w:r>
      <w:r w:rsidR="00335B05">
        <w:t xml:space="preserve">the </w:t>
      </w:r>
      <w:r>
        <w:t>first session and $25 for the second session.</w:t>
      </w:r>
    </w:p>
    <w:p w14:paraId="45F66DF0" w14:textId="2087ED3A" w:rsidR="00C92361" w:rsidRDefault="00000000">
      <w:pPr>
        <w:ind w:firstLine="720"/>
      </w:pPr>
      <w:r>
        <w:t>○ Player</w:t>
      </w:r>
      <w:r w:rsidR="007B373B">
        <w:t>s</w:t>
      </w:r>
      <w:r>
        <w:t xml:space="preserve"> must have a GVSA issued pass card.</w:t>
      </w:r>
    </w:p>
    <w:p w14:paraId="0C47543A" w14:textId="0B39FB43" w:rsidR="007B373B" w:rsidRDefault="004A5980" w:rsidP="004A5980">
      <w:pPr>
        <w:ind w:left="900" w:hanging="180"/>
        <w:rPr>
          <w:highlight w:val="yellow"/>
        </w:rPr>
      </w:pPr>
      <w:r w:rsidRPr="004A5980">
        <w:rPr>
          <w:highlight w:val="yellow"/>
        </w:rPr>
        <w:t xml:space="preserve">○ U7 and U8 </w:t>
      </w:r>
      <w:r w:rsidR="00D23F27">
        <w:rPr>
          <w:highlight w:val="yellow"/>
        </w:rPr>
        <w:t xml:space="preserve">4v4 </w:t>
      </w:r>
      <w:r w:rsidRPr="004A5980">
        <w:rPr>
          <w:highlight w:val="yellow"/>
        </w:rPr>
        <w:t xml:space="preserve">teams may have 2 </w:t>
      </w:r>
      <w:proofErr w:type="spellStart"/>
      <w:r w:rsidRPr="004A5980">
        <w:rPr>
          <w:highlight w:val="yellow"/>
        </w:rPr>
        <w:t>passcard</w:t>
      </w:r>
      <w:proofErr w:type="spellEnd"/>
      <w:r w:rsidRPr="004A5980">
        <w:rPr>
          <w:highlight w:val="yellow"/>
        </w:rPr>
        <w:t xml:space="preserve"> players per game</w:t>
      </w:r>
      <w:r w:rsidRPr="007B373B">
        <w:rPr>
          <w:highlight w:val="yellow"/>
        </w:rPr>
        <w:t>.</w:t>
      </w:r>
      <w:r w:rsidR="005463BC" w:rsidRPr="007B373B">
        <w:rPr>
          <w:highlight w:val="yellow"/>
        </w:rPr>
        <w:t xml:space="preserve"> </w:t>
      </w:r>
    </w:p>
    <w:p w14:paraId="2524065C" w14:textId="0AFC8598" w:rsidR="007B373B" w:rsidRPr="007B373B" w:rsidRDefault="007B373B" w:rsidP="00D23F27">
      <w:r w:rsidRPr="00D23F27">
        <w:rPr>
          <w:highlight w:val="yellow"/>
        </w:rPr>
        <w:t xml:space="preserve"> </w:t>
      </w:r>
    </w:p>
    <w:p w14:paraId="52A7B16C" w14:textId="2673016A" w:rsidR="004A5980" w:rsidRDefault="007B373B" w:rsidP="007B373B">
      <w:pPr>
        <w:pStyle w:val="ListParagraph"/>
        <w:numPr>
          <w:ilvl w:val="0"/>
          <w:numId w:val="1"/>
        </w:numPr>
        <w:rPr>
          <w:highlight w:val="yellow"/>
        </w:rPr>
      </w:pPr>
      <w:r w:rsidRPr="005406CE">
        <w:rPr>
          <w:highlight w:val="yellow"/>
        </w:rPr>
        <w:t>U7</w:t>
      </w:r>
      <w:r w:rsidR="005406CE" w:rsidRPr="005406CE">
        <w:rPr>
          <w:highlight w:val="yellow"/>
        </w:rPr>
        <w:t xml:space="preserve"> may </w:t>
      </w:r>
      <w:proofErr w:type="spellStart"/>
      <w:r w:rsidR="005406CE" w:rsidRPr="005406CE">
        <w:rPr>
          <w:highlight w:val="yellow"/>
        </w:rPr>
        <w:t>passcard</w:t>
      </w:r>
      <w:proofErr w:type="spellEnd"/>
      <w:r w:rsidR="005406CE" w:rsidRPr="005406CE">
        <w:rPr>
          <w:highlight w:val="yellow"/>
        </w:rPr>
        <w:t xml:space="preserve"> to any U7 team and up to U8</w:t>
      </w:r>
    </w:p>
    <w:p w14:paraId="0C817F47" w14:textId="0B4CE02C" w:rsidR="005406CE" w:rsidRDefault="005406CE" w:rsidP="007B373B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lastRenderedPageBreak/>
        <w:t xml:space="preserve">U8 may </w:t>
      </w:r>
      <w:proofErr w:type="spellStart"/>
      <w:r>
        <w:rPr>
          <w:highlight w:val="yellow"/>
        </w:rPr>
        <w:t>passcard</w:t>
      </w:r>
      <w:proofErr w:type="spellEnd"/>
      <w:r>
        <w:rPr>
          <w:highlight w:val="yellow"/>
        </w:rPr>
        <w:t xml:space="preserve"> to any to any U8 team in any </w:t>
      </w:r>
      <w:r w:rsidR="00D23F27">
        <w:rPr>
          <w:highlight w:val="yellow"/>
        </w:rPr>
        <w:t xml:space="preserve">a 4v4 </w:t>
      </w:r>
      <w:r>
        <w:rPr>
          <w:highlight w:val="yellow"/>
        </w:rPr>
        <w:t>division</w:t>
      </w:r>
    </w:p>
    <w:p w14:paraId="243DBFF7" w14:textId="4954EEDF" w:rsidR="005406CE" w:rsidRDefault="005406CE" w:rsidP="007B373B">
      <w:pPr>
        <w:pStyle w:val="ListParagraph"/>
        <w:numPr>
          <w:ilvl w:val="0"/>
          <w:numId w:val="1"/>
        </w:numPr>
        <w:rPr>
          <w:highlight w:val="yellow"/>
        </w:rPr>
      </w:pPr>
      <w:r w:rsidRPr="007B373B">
        <w:rPr>
          <w:highlight w:val="yellow"/>
        </w:rPr>
        <w:t xml:space="preserve">U8 may not </w:t>
      </w:r>
      <w:proofErr w:type="spellStart"/>
      <w:r w:rsidRPr="007B373B">
        <w:rPr>
          <w:highlight w:val="yellow"/>
        </w:rPr>
        <w:t>passcard</w:t>
      </w:r>
      <w:proofErr w:type="spellEnd"/>
      <w:r w:rsidRPr="007B373B">
        <w:rPr>
          <w:highlight w:val="yellow"/>
        </w:rPr>
        <w:t xml:space="preserve"> to a U7 division</w:t>
      </w:r>
      <w:r>
        <w:rPr>
          <w:highlight w:val="yellow"/>
        </w:rPr>
        <w:t xml:space="preserve"> team</w:t>
      </w:r>
      <w:r w:rsidRPr="007B373B">
        <w:rPr>
          <w:highlight w:val="yellow"/>
        </w:rPr>
        <w:t>.</w:t>
      </w:r>
    </w:p>
    <w:p w14:paraId="6885CF58" w14:textId="54CD6766" w:rsidR="00D23F27" w:rsidRPr="005406CE" w:rsidRDefault="00D23F27" w:rsidP="007B373B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 xml:space="preserve">U8 player rostered on a U9 or U10 team may not </w:t>
      </w:r>
      <w:proofErr w:type="spellStart"/>
      <w:r>
        <w:rPr>
          <w:highlight w:val="yellow"/>
        </w:rPr>
        <w:t>passcard</w:t>
      </w:r>
      <w:proofErr w:type="spellEnd"/>
      <w:r>
        <w:rPr>
          <w:highlight w:val="yellow"/>
        </w:rPr>
        <w:t xml:space="preserve"> down to 4v4</w:t>
      </w:r>
    </w:p>
    <w:p w14:paraId="7C9AD73D" w14:textId="6363EF99" w:rsidR="00284110" w:rsidRPr="00284110" w:rsidRDefault="00284110" w:rsidP="007B373B">
      <w:pPr>
        <w:pStyle w:val="ListParagraph"/>
        <w:numPr>
          <w:ilvl w:val="0"/>
          <w:numId w:val="1"/>
        </w:numPr>
        <w:rPr>
          <w:highlight w:val="yellow"/>
        </w:rPr>
      </w:pPr>
      <w:r w:rsidRPr="00284110">
        <w:rPr>
          <w:highlight w:val="yellow"/>
        </w:rPr>
        <w:t>Roster limits must be met for each game</w:t>
      </w:r>
    </w:p>
    <w:p w14:paraId="1B0C3780" w14:textId="20FF1F7C" w:rsidR="00284110" w:rsidRPr="00284110" w:rsidRDefault="00284110" w:rsidP="007B373B">
      <w:pPr>
        <w:pStyle w:val="ListParagraph"/>
        <w:numPr>
          <w:ilvl w:val="0"/>
          <w:numId w:val="1"/>
        </w:numPr>
        <w:rPr>
          <w:highlight w:val="yellow"/>
        </w:rPr>
      </w:pPr>
      <w:r w:rsidRPr="00284110">
        <w:rPr>
          <w:highlight w:val="yellow"/>
        </w:rPr>
        <w:t>Players must use their player card from their primary team and have it present for the game.  They will not be issued a second card.</w:t>
      </w:r>
    </w:p>
    <w:p w14:paraId="0A736E0C" w14:textId="4262F4A9" w:rsidR="00284110" w:rsidRPr="00284110" w:rsidRDefault="00284110" w:rsidP="007B373B">
      <w:pPr>
        <w:pStyle w:val="ListParagraph"/>
        <w:numPr>
          <w:ilvl w:val="0"/>
          <w:numId w:val="1"/>
        </w:numPr>
        <w:rPr>
          <w:highlight w:val="yellow"/>
        </w:rPr>
      </w:pPr>
      <w:proofErr w:type="spellStart"/>
      <w:r w:rsidRPr="00284110">
        <w:rPr>
          <w:highlight w:val="yellow"/>
        </w:rPr>
        <w:t>Passcard</w:t>
      </w:r>
      <w:proofErr w:type="spellEnd"/>
      <w:r w:rsidRPr="00284110">
        <w:rPr>
          <w:highlight w:val="yellow"/>
        </w:rPr>
        <w:t xml:space="preserve"> players must be written in on the game sheet.</w:t>
      </w:r>
    </w:p>
    <w:p w14:paraId="3462F041" w14:textId="77777777" w:rsidR="004A5980" w:rsidRDefault="004A5980">
      <w:pPr>
        <w:ind w:firstLine="720"/>
      </w:pPr>
    </w:p>
    <w:p w14:paraId="19E45C9E" w14:textId="77777777" w:rsidR="00C92361" w:rsidRDefault="00C92361">
      <w:pPr>
        <w:ind w:firstLine="720"/>
      </w:pPr>
    </w:p>
    <w:p w14:paraId="3B77E0AE" w14:textId="77777777" w:rsidR="00484FC8" w:rsidRDefault="00484FC8">
      <w:pPr>
        <w:ind w:firstLine="720"/>
      </w:pPr>
    </w:p>
    <w:p w14:paraId="10C2FEB1" w14:textId="77777777" w:rsidR="00484FC8" w:rsidRDefault="00484FC8">
      <w:pPr>
        <w:ind w:firstLine="720"/>
      </w:pPr>
    </w:p>
    <w:p w14:paraId="68C1D75D" w14:textId="77777777" w:rsidR="00C92361" w:rsidRDefault="00000000">
      <w:r>
        <w:t xml:space="preserve">● Referees </w:t>
      </w:r>
    </w:p>
    <w:p w14:paraId="6F6FECF0" w14:textId="75798C13" w:rsidR="00C92361" w:rsidRDefault="00000000">
      <w:pPr>
        <w:ind w:left="900" w:hanging="180"/>
      </w:pPr>
      <w:r>
        <w:t xml:space="preserve">○ No referees will be assigned by GVSA. </w:t>
      </w:r>
      <w:r w:rsidR="00335B05">
        <w:t>The h</w:t>
      </w:r>
      <w:r>
        <w:t xml:space="preserve">ome team will assign the referee and will pay the referee for their home games. The fees will be determined by the home club. </w:t>
      </w:r>
    </w:p>
    <w:p w14:paraId="27B5B3CD" w14:textId="330437B3" w:rsidR="004A5980" w:rsidRDefault="00000000" w:rsidP="004A5980">
      <w:pPr>
        <w:ind w:left="900" w:hanging="180"/>
      </w:pPr>
      <w:r>
        <w:t xml:space="preserve">○ </w:t>
      </w:r>
      <w:r w:rsidR="00EA14B7" w:rsidRPr="004A5980">
        <w:rPr>
          <w:highlight w:val="yellow"/>
        </w:rPr>
        <w:t>The home team must train r</w:t>
      </w:r>
      <w:r w:rsidRPr="004A5980">
        <w:rPr>
          <w:highlight w:val="yellow"/>
        </w:rPr>
        <w:t>eferees</w:t>
      </w:r>
      <w:r w:rsidR="00284110">
        <w:rPr>
          <w:highlight w:val="yellow"/>
        </w:rPr>
        <w:t xml:space="preserve"> on game rules and procedures</w:t>
      </w:r>
      <w:r w:rsidR="00EA14B7" w:rsidRPr="004A5980">
        <w:rPr>
          <w:highlight w:val="yellow"/>
        </w:rPr>
        <w:t>.</w:t>
      </w:r>
      <w:r w:rsidR="00EA14B7">
        <w:t xml:space="preserve">  </w:t>
      </w:r>
    </w:p>
    <w:p w14:paraId="33E1B171" w14:textId="63C3B37D" w:rsidR="00C92361" w:rsidRDefault="004A5980" w:rsidP="004A5980">
      <w:pPr>
        <w:ind w:left="900" w:hanging="180"/>
      </w:pPr>
      <w:r>
        <w:t xml:space="preserve">○ </w:t>
      </w:r>
      <w:r w:rsidR="00EA14B7">
        <w:t>Referees</w:t>
      </w:r>
      <w:r>
        <w:t xml:space="preserve"> are required to submit the game sheet to </w:t>
      </w:r>
      <w:hyperlink r:id="rId9">
        <w:r w:rsidR="00C92361">
          <w:rPr>
            <w:color w:val="0563C1"/>
            <w:u w:val="single"/>
          </w:rPr>
          <w:t>gvsagamereports@gmail.com</w:t>
        </w:r>
      </w:hyperlink>
      <w:r>
        <w:t xml:space="preserve"> within 24 hours of the game.  </w:t>
      </w:r>
      <w:r w:rsidR="00EA14B7">
        <w:t xml:space="preserve">Home clubs must inform the referees of the requirement. </w:t>
      </w:r>
      <w:r>
        <w:t>Managers/coaches are encouraged to take a photo of the signed game sheet.</w:t>
      </w:r>
    </w:p>
    <w:p w14:paraId="600FC548" w14:textId="6C16E146" w:rsidR="004A5980" w:rsidRDefault="00000000">
      <w:pPr>
        <w:ind w:left="900" w:hanging="180"/>
      </w:pPr>
      <w:r>
        <w:t xml:space="preserve">○ </w:t>
      </w:r>
      <w:r w:rsidR="004A5980">
        <w:t>Referees record sportsmanship scores</w:t>
      </w:r>
    </w:p>
    <w:p w14:paraId="4BF3591A" w14:textId="701DB2ED" w:rsidR="00C92361" w:rsidRDefault="004A5980" w:rsidP="004A5980">
      <w:pPr>
        <w:ind w:left="900" w:hanging="180"/>
      </w:pPr>
      <w:r>
        <w:t>○ Cross off any player/coach not in attendance</w:t>
      </w:r>
    </w:p>
    <w:p w14:paraId="51AE212C" w14:textId="77777777" w:rsidR="00C92361" w:rsidRDefault="00C92361">
      <w:pPr>
        <w:ind w:left="900" w:hanging="180"/>
      </w:pPr>
    </w:p>
    <w:p w14:paraId="203B6FF3" w14:textId="77777777" w:rsidR="00C92361" w:rsidRDefault="00000000">
      <w:pPr>
        <w:ind w:left="180" w:hanging="180"/>
      </w:pPr>
      <w:r>
        <w:t xml:space="preserve">● All game rules can be adapted if both teams agree. If both teams do not agree, then these rules must be followed. </w:t>
      </w:r>
    </w:p>
    <w:p w14:paraId="23428463" w14:textId="77777777" w:rsidR="00C92361" w:rsidRDefault="00C92361">
      <w:pPr>
        <w:ind w:left="180" w:hanging="180"/>
      </w:pPr>
    </w:p>
    <w:p w14:paraId="49DD8BE7" w14:textId="77777777" w:rsidR="00C92361" w:rsidRDefault="00000000">
      <w:r>
        <w:t xml:space="preserve">● Playing up: </w:t>
      </w:r>
    </w:p>
    <w:p w14:paraId="534CF0C3" w14:textId="006E5503" w:rsidR="00C92361" w:rsidRDefault="00000000">
      <w:pPr>
        <w:ind w:firstLine="720"/>
      </w:pPr>
      <w:r>
        <w:t xml:space="preserve">○ U7 players may play up to </w:t>
      </w:r>
      <w:r w:rsidR="00335B05">
        <w:t xml:space="preserve">a </w:t>
      </w:r>
      <w:r>
        <w:t xml:space="preserve">U8 </w:t>
      </w:r>
      <w:r w:rsidR="00335B05">
        <w:t xml:space="preserve">team </w:t>
      </w:r>
      <w:r>
        <w:t xml:space="preserve">only. </w:t>
      </w:r>
    </w:p>
    <w:p w14:paraId="09828D2C" w14:textId="43758D85" w:rsidR="00C92361" w:rsidRDefault="00000000" w:rsidP="00335B05">
      <w:pPr>
        <w:ind w:firstLine="720"/>
      </w:pPr>
      <w:r>
        <w:t xml:space="preserve">○ Both U7 and U8 will play 4v4 </w:t>
      </w:r>
    </w:p>
    <w:p w14:paraId="706E838F" w14:textId="41A6E3A9" w:rsidR="00C92361" w:rsidRDefault="00000000">
      <w:pPr>
        <w:ind w:left="900" w:hanging="180"/>
      </w:pPr>
      <w:r>
        <w:t>○ U8 team</w:t>
      </w:r>
      <w:r w:rsidR="00335B05">
        <w:t xml:space="preserve">s </w:t>
      </w:r>
      <w:r>
        <w:t xml:space="preserve">must have GVSA approval to </w:t>
      </w:r>
      <w:r w:rsidR="00335B05">
        <w:t>move up to U9</w:t>
      </w:r>
      <w:r>
        <w:t>. They must have more than 50% of the players returning</w:t>
      </w:r>
      <w:r w:rsidR="00335B05">
        <w:t xml:space="preserve"> and </w:t>
      </w:r>
      <w:r w:rsidR="004A5980">
        <w:t xml:space="preserve">have </w:t>
      </w:r>
      <w:r w:rsidR="00335B05">
        <w:t>played in the U8 first division, finishing at the top of the division</w:t>
      </w:r>
      <w:r>
        <w:t xml:space="preserve">. </w:t>
      </w:r>
      <w:r w:rsidRPr="004A5980">
        <w:rPr>
          <w:i/>
          <w:iCs/>
        </w:rPr>
        <w:t xml:space="preserve">U7 players </w:t>
      </w:r>
      <w:r w:rsidR="00305186" w:rsidRPr="004A5980">
        <w:rPr>
          <w:i/>
          <w:iCs/>
        </w:rPr>
        <w:t>may not</w:t>
      </w:r>
      <w:r w:rsidRPr="004A5980">
        <w:rPr>
          <w:i/>
          <w:iCs/>
        </w:rPr>
        <w:t xml:space="preserve"> play up to U9.</w:t>
      </w:r>
      <w:r>
        <w:t xml:space="preserve"> </w:t>
      </w:r>
    </w:p>
    <w:p w14:paraId="5AB9F617" w14:textId="14AAB2B3" w:rsidR="00C92361" w:rsidRDefault="00000000">
      <w:pPr>
        <w:ind w:left="900" w:hanging="180"/>
      </w:pPr>
      <w:r>
        <w:t>○ New U9 teams must consist of more than 50% of the players being true U9 players.</w:t>
      </w:r>
      <w:r w:rsidR="00335B05">
        <w:t xml:space="preserve"> </w:t>
      </w:r>
      <w:r w:rsidR="00305186">
        <w:t xml:space="preserve">The only exception to this rule is for U8 teams </w:t>
      </w:r>
      <w:r w:rsidR="004A5980">
        <w:t xml:space="preserve">that </w:t>
      </w:r>
      <w:r w:rsidR="00305186">
        <w:t xml:space="preserve">GVSA has approved to move out of the U8 division due to </w:t>
      </w:r>
      <w:r w:rsidR="004A5980">
        <w:t xml:space="preserve">a </w:t>
      </w:r>
      <w:r w:rsidR="00305186">
        <w:t>lack of competition</w:t>
      </w:r>
      <w:r w:rsidR="004A5980">
        <w:t xml:space="preserve"> in that division</w:t>
      </w:r>
      <w:r w:rsidR="00305186">
        <w:t>.</w:t>
      </w:r>
    </w:p>
    <w:p w14:paraId="365C1B72" w14:textId="77777777" w:rsidR="00C92361" w:rsidRDefault="00C92361" w:rsidP="00305186"/>
    <w:p w14:paraId="386EA3C5" w14:textId="77777777" w:rsidR="00C92361" w:rsidRDefault="00C92361" w:rsidP="00484FC8"/>
    <w:p w14:paraId="5DECA429" w14:textId="77777777" w:rsidR="00C92361" w:rsidRDefault="00C92361" w:rsidP="00305186"/>
    <w:p w14:paraId="5A628F6F" w14:textId="7B328CE2" w:rsidR="00C92361" w:rsidRDefault="00305186">
      <w:pPr>
        <w:ind w:left="900" w:hanging="180"/>
      </w:pPr>
      <w:r>
        <w:rPr>
          <w:noProof/>
        </w:rPr>
        <w:lastRenderedPageBreak/>
        <w:drawing>
          <wp:inline distT="0" distB="0" distL="0" distR="0" wp14:anchorId="5D53A6F9" wp14:editId="5D0A30A4">
            <wp:extent cx="3836323" cy="5110589"/>
            <wp:effectExtent l="0" t="0" r="0" b="0"/>
            <wp:docPr id="1219299210" name="image2.png" descr="A green field with white lin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99210" name="image2.png" descr="A green field with white lines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36323" cy="51105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258DAA" w14:textId="30221E1D" w:rsidR="00C92361" w:rsidRDefault="00C92361">
      <w:pPr>
        <w:jc w:val="center"/>
      </w:pPr>
    </w:p>
    <w:sectPr w:rsidR="00C92361">
      <w:footerReference w:type="default" r:id="rId11"/>
      <w:pgSz w:w="12240" w:h="15840"/>
      <w:pgMar w:top="78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16EF" w14:textId="77777777" w:rsidR="00096AE7" w:rsidRDefault="00096AE7" w:rsidP="00305186">
      <w:r>
        <w:separator/>
      </w:r>
    </w:p>
  </w:endnote>
  <w:endnote w:type="continuationSeparator" w:id="0">
    <w:p w14:paraId="3B9CC395" w14:textId="77777777" w:rsidR="00096AE7" w:rsidRDefault="00096AE7" w:rsidP="0030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FAC6" w14:textId="4BCACC3A" w:rsidR="00305186" w:rsidRDefault="00305186">
    <w:pPr>
      <w:pStyle w:val="Footer"/>
    </w:pPr>
    <w:r>
      <w:t xml:space="preserve">Revised </w:t>
    </w:r>
    <w:r w:rsidR="0086033C">
      <w:t>August</w:t>
    </w:r>
    <w:r w:rsidR="009524E6">
      <w:t xml:space="preserve"> 2025</w:t>
    </w:r>
  </w:p>
  <w:p w14:paraId="56235A6D" w14:textId="77777777" w:rsidR="00305186" w:rsidRDefault="00305186">
    <w:pPr>
      <w:pStyle w:val="Footer"/>
    </w:pPr>
  </w:p>
  <w:p w14:paraId="1C9F60E9" w14:textId="77777777" w:rsidR="00305186" w:rsidRDefault="00305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90BA" w14:textId="77777777" w:rsidR="00096AE7" w:rsidRDefault="00096AE7" w:rsidP="00305186">
      <w:r>
        <w:separator/>
      </w:r>
    </w:p>
  </w:footnote>
  <w:footnote w:type="continuationSeparator" w:id="0">
    <w:p w14:paraId="2D53ADA6" w14:textId="77777777" w:rsidR="00096AE7" w:rsidRDefault="00096AE7" w:rsidP="00305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F20CA"/>
    <w:multiLevelType w:val="hybridMultilevel"/>
    <w:tmpl w:val="2586F35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580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61"/>
    <w:rsid w:val="00002AED"/>
    <w:rsid w:val="00096AE7"/>
    <w:rsid w:val="000A3C97"/>
    <w:rsid w:val="001559D2"/>
    <w:rsid w:val="001A2112"/>
    <w:rsid w:val="00284110"/>
    <w:rsid w:val="002934E9"/>
    <w:rsid w:val="002E3120"/>
    <w:rsid w:val="00305186"/>
    <w:rsid w:val="00335B05"/>
    <w:rsid w:val="003F6A1D"/>
    <w:rsid w:val="00424DA5"/>
    <w:rsid w:val="00484FC8"/>
    <w:rsid w:val="004A5980"/>
    <w:rsid w:val="005406CE"/>
    <w:rsid w:val="005463BC"/>
    <w:rsid w:val="005F53E0"/>
    <w:rsid w:val="00611541"/>
    <w:rsid w:val="006171DC"/>
    <w:rsid w:val="00767CCC"/>
    <w:rsid w:val="007B373B"/>
    <w:rsid w:val="0086033C"/>
    <w:rsid w:val="008908CB"/>
    <w:rsid w:val="009524E6"/>
    <w:rsid w:val="00A14818"/>
    <w:rsid w:val="00A4551C"/>
    <w:rsid w:val="00BD63C0"/>
    <w:rsid w:val="00C550A6"/>
    <w:rsid w:val="00C92361"/>
    <w:rsid w:val="00D23F27"/>
    <w:rsid w:val="00E349EB"/>
    <w:rsid w:val="00EA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0D81"/>
  <w15:docId w15:val="{A5376323-CB3E-944C-9B1A-98EB1FC2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017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D40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0E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05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186"/>
  </w:style>
  <w:style w:type="paragraph" w:styleId="Footer">
    <w:name w:val="footer"/>
    <w:basedOn w:val="Normal"/>
    <w:link w:val="FooterChar"/>
    <w:uiPriority w:val="99"/>
    <w:unhideWhenUsed/>
    <w:rsid w:val="00305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186"/>
  </w:style>
  <w:style w:type="paragraph" w:styleId="ListParagraph">
    <w:name w:val="List Paragraph"/>
    <w:basedOn w:val="Normal"/>
    <w:uiPriority w:val="34"/>
    <w:qFormat/>
    <w:rsid w:val="007B3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gvsagamerepor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6MFgGBlgGkhFAOagWcZyk602Uw==">CgMxLjA4AHIhMVFza3BNYWxRVjdJc2g4LWxNRHZXLXNsYzdLSVp2aWNL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Crabtree</dc:creator>
  <cp:lastModifiedBy>Sue Crabtree</cp:lastModifiedBy>
  <cp:revision>9</cp:revision>
  <cp:lastPrinted>2025-09-05T14:23:00Z</cp:lastPrinted>
  <dcterms:created xsi:type="dcterms:W3CDTF">2025-05-05T16:53:00Z</dcterms:created>
  <dcterms:modified xsi:type="dcterms:W3CDTF">2025-09-08T13:44:00Z</dcterms:modified>
</cp:coreProperties>
</file>