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6"/>
        <w:gridCol w:w="2000"/>
        <w:tblGridChange w:id="0">
          <w:tblGrid>
            <w:gridCol w:w="8206"/>
            <w:gridCol w:w="2000"/>
          </w:tblGrid>
        </w:tblGridChange>
      </w:tblGrid>
      <w:tr>
        <w:trPr>
          <w:cantSplit w:val="0"/>
          <w:tblHeader w:val="0"/>
        </w:trPr>
        <w:tc>
          <w:tcPr>
            <w:tcBorders>
              <w:bottom w:color="b7950b" w:space="0" w:sz="4" w:val="single"/>
            </w:tcBorders>
            <w:tcMar>
              <w:top w:w="0.0" w:type="dxa"/>
              <w:left w:w="0.0" w:type="dxa"/>
              <w:bottom w:w="120.0" w:type="dxa"/>
              <w:right w:w="200.0" w:type="dxa"/>
            </w:tcMar>
          </w:tcPr>
          <w:p w:rsidR="00000000" w:rsidDel="00000000" w:rsidP="00000000" w:rsidRDefault="00000000" w:rsidRPr="00000000" w14:paraId="00000002">
            <w:pPr>
              <w:spacing w:after="20" w:before="0" w:lineRule="auto"/>
              <w:rPr/>
            </w:pPr>
            <w:r w:rsidDel="00000000" w:rsidR="00000000" w:rsidRPr="00000000">
              <w:rPr>
                <w:rFonts w:ascii="Arial" w:cs="Arial" w:eastAsia="Arial" w:hAnsi="Arial"/>
                <w:b w:val="1"/>
                <w:bCs w:val="1"/>
                <w:color w:val="1b2631"/>
                <w:sz w:val="44"/>
                <w:szCs w:val="44"/>
                <w:rtl w:val="0"/>
              </w:rPr>
              <w:t xml:space="preserve">SARAH NGUYÊN</w:t>
            </w:r>
            <w:r w:rsidDel="00000000" w:rsidR="00000000" w:rsidRPr="00000000">
              <w:rPr>
                <w:rtl w:val="0"/>
              </w:rPr>
            </w:r>
          </w:p>
          <w:p w:rsidR="00000000" w:rsidDel="00000000" w:rsidP="00000000" w:rsidRDefault="00000000" w:rsidRPr="00000000" w14:paraId="00000003">
            <w:pPr>
              <w:spacing w:after="50" w:before="0" w:lineRule="auto"/>
              <w:rPr/>
            </w:pPr>
            <w:r w:rsidDel="00000000" w:rsidR="00000000" w:rsidRPr="00000000">
              <w:rPr>
                <w:rFonts w:ascii="Arial" w:cs="Arial" w:eastAsia="Arial" w:hAnsi="Arial"/>
                <w:color w:val="b7950b"/>
                <w:sz w:val="21"/>
                <w:szCs w:val="21"/>
                <w:rtl w:val="0"/>
              </w:rPr>
              <w:t xml:space="preserve">Master Finance &amp; Contrôle de Gestion — Diplômée 2025</w:t>
            </w:r>
            <w:r w:rsidDel="00000000" w:rsidR="00000000" w:rsidRPr="00000000">
              <w:rPr>
                <w:rtl w:val="0"/>
              </w:rPr>
            </w:r>
          </w:p>
          <w:p w:rsidR="00000000" w:rsidDel="00000000" w:rsidP="00000000" w:rsidRDefault="00000000" w:rsidRPr="00000000" w14:paraId="00000004">
            <w:pPr>
              <w:spacing w:after="35" w:before="0" w:lineRule="auto"/>
              <w:rPr/>
            </w:pPr>
            <w:r w:rsidDel="00000000" w:rsidR="00000000" w:rsidRPr="00000000">
              <w:rPr>
                <w:rFonts w:ascii="Arial" w:cs="Arial" w:eastAsia="Arial" w:hAnsi="Arial"/>
                <w:color w:val="555555"/>
                <w:sz w:val="18"/>
                <w:szCs w:val="18"/>
                <w:rtl w:val="0"/>
              </w:rPr>
              <w:t xml:space="preserve">sarah.nguyen@email.com   |   +33 6 31 42 53 64</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Arial" w:cs="Arial" w:eastAsia="Arial" w:hAnsi="Arial"/>
                <w:color w:val="555555"/>
                <w:sz w:val="18"/>
                <w:szCs w:val="18"/>
                <w:rtl w:val="0"/>
              </w:rPr>
              <w:t xml:space="preserve">Nantes, France   |   linkedin.com/in/sarah-nguyen-finance</w:t>
            </w:r>
            <w:r w:rsidDel="00000000" w:rsidR="00000000" w:rsidRPr="00000000">
              <w:rPr>
                <w:rtl w:val="0"/>
              </w:rPr>
            </w:r>
          </w:p>
        </w:tc>
        <w:tc>
          <w:tcPr>
            <w:tcBorders>
              <w:bottom w:color="b7950b" w:space="0" w:sz="4" w:val="single"/>
            </w:tcBorders>
            <w:tcMar>
              <w:top w:w="20.0" w:type="dxa"/>
              <w:left w:w="20.0" w:type="dxa"/>
              <w:bottom w:w="20.0" w:type="dxa"/>
              <w:right w:w="0.0" w:type="dxa"/>
            </w:tcMar>
          </w:tcPr>
          <w:p w:rsidR="00000000" w:rsidDel="00000000" w:rsidP="00000000" w:rsidRDefault="00000000" w:rsidRPr="00000000" w14:paraId="00000006">
            <w:pPr>
              <w:jc w:val="right"/>
              <w:rPr/>
            </w:pPr>
            <w:r w:rsidDel="00000000" w:rsidR="00000000" w:rsidRPr="00000000">
              <w:rPr/>
              <w:drawing>
                <wp:inline distB="0" distT="0" distL="0" distR="0">
                  <wp:extent cx="857250" cy="1028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57250" cy="1028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spacing w:after="80" w:before="0" w:lineRule="auto"/>
        <w:rPr/>
      </w:pPr>
      <w:r w:rsidDel="00000000" w:rsidR="00000000" w:rsidRPr="00000000">
        <w:rPr>
          <w:rtl w:val="0"/>
        </w:rPr>
      </w:r>
    </w:p>
    <w:p w:rsidR="00000000" w:rsidDel="00000000" w:rsidP="00000000" w:rsidRDefault="00000000" w:rsidRPr="00000000" w14:paraId="00000008">
      <w:pPr>
        <w:shd w:fill="fef9e7" w:val="clear"/>
        <w:spacing w:after="40" w:before="0" w:lineRule="auto"/>
        <w:rPr/>
      </w:pPr>
      <w:r w:rsidDel="00000000" w:rsidR="00000000" w:rsidRPr="00000000">
        <w:rPr>
          <w:rFonts w:ascii="Arial" w:cs="Arial" w:eastAsia="Arial" w:hAnsi="Arial"/>
          <w:b w:val="1"/>
          <w:bCs w:val="1"/>
          <w:color w:val="b7950b"/>
          <w:sz w:val="19"/>
          <w:szCs w:val="19"/>
          <w:rtl w:val="0"/>
        </w:rPr>
        <w:t xml:space="preserve">Objectif : </w:t>
      </w:r>
      <w:r w:rsidDel="00000000" w:rsidR="00000000" w:rsidRPr="00000000">
        <w:rPr>
          <w:rFonts w:ascii="Arial" w:cs="Arial" w:eastAsia="Arial" w:hAnsi="Arial"/>
          <w:color w:val="333333"/>
          <w:sz w:val="19"/>
          <w:szCs w:val="19"/>
          <w:rtl w:val="0"/>
        </w:rPr>
        <w:t xml:space="preserve">Jeune diplômée en Finance (IAE Nantes, 2025), je cible un poste de Contrôleur de Gestion Junior ou Analyste Financier dans une ETI ou grand groupe. Rigueur analytique, maîtrise d'Excel avancé et première expérience en reporting financier via deux stages.</w:t>
      </w:r>
      <w:r w:rsidDel="00000000" w:rsidR="00000000" w:rsidRPr="00000000">
        <w:rPr>
          <w:rtl w:val="0"/>
        </w:rPr>
      </w:r>
    </w:p>
    <w:p w:rsidR="00000000" w:rsidDel="00000000" w:rsidP="00000000" w:rsidRDefault="00000000" w:rsidRPr="00000000" w14:paraId="00000009">
      <w:pPr>
        <w:spacing w:after="60" w:before="0" w:lineRule="auto"/>
        <w:rPr/>
      </w:pPr>
      <w:r w:rsidDel="00000000" w:rsidR="00000000" w:rsidRPr="00000000">
        <w:rPr>
          <w:rtl w:val="0"/>
        </w:rPr>
      </w:r>
    </w:p>
    <w:p w:rsidR="00000000" w:rsidDel="00000000" w:rsidP="00000000" w:rsidRDefault="00000000" w:rsidRPr="00000000" w14:paraId="0000000A">
      <w:pPr>
        <w:spacing w:after="60" w:before="240" w:lineRule="auto"/>
        <w:rPr/>
      </w:pPr>
      <w:r w:rsidDel="00000000" w:rsidR="00000000" w:rsidRPr="00000000">
        <w:rPr>
          <w:rFonts w:ascii="Arial" w:cs="Arial" w:eastAsia="Arial" w:hAnsi="Arial"/>
          <w:b w:val="1"/>
          <w:bCs w:val="1"/>
          <w:color w:val="1b2631"/>
          <w:sz w:val="22"/>
          <w:szCs w:val="22"/>
          <w:rtl w:val="0"/>
        </w:rPr>
        <w:t xml:space="preserve">PARCOURS ACADÉMIQUE — CHRONOLOGIE</w:t>
      </w:r>
      <w:r w:rsidDel="00000000" w:rsidR="00000000" w:rsidRPr="00000000">
        <w:rPr>
          <w:rtl w:val="0"/>
        </w:rPr>
      </w:r>
    </w:p>
    <w:p w:rsidR="00000000" w:rsidDel="00000000" w:rsidP="00000000" w:rsidRDefault="00000000" w:rsidRPr="00000000" w14:paraId="0000000B">
      <w:pPr>
        <w:pBdr>
          <w:bottom w:color="b7950b" w:space="1" w:sz="4" w:val="single"/>
        </w:pBdr>
        <w:spacing w:after="100" w:before="0" w:lineRule="auto"/>
        <w:rPr/>
      </w:pPr>
      <w:r w:rsidDel="00000000" w:rsidR="00000000" w:rsidRPr="00000000">
        <w:rPr>
          <w:rtl w:val="0"/>
        </w:rPr>
      </w:r>
    </w:p>
    <w:tbl>
      <w:tblPr>
        <w:tblStyle w:val="Table2"/>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8206"/>
        <w:tblGridChange w:id="0">
          <w:tblGrid>
            <w:gridCol w:w="2000"/>
            <w:gridCol w:w="8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0D">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2023 – 2025</w:t>
                  </w: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0F">
            <w:pPr>
              <w:spacing w:after="25" w:before="0" w:lineRule="auto"/>
              <w:rPr/>
            </w:pPr>
            <w:r w:rsidDel="00000000" w:rsidR="00000000" w:rsidRPr="00000000">
              <w:rPr>
                <w:rFonts w:ascii="Arial" w:cs="Arial" w:eastAsia="Arial" w:hAnsi="Arial"/>
                <w:b w:val="1"/>
                <w:bCs w:val="1"/>
                <w:sz w:val="21"/>
                <w:szCs w:val="21"/>
                <w:rtl w:val="0"/>
              </w:rPr>
              <w:t xml:space="preserve">Master Finance, Comptabilité &amp; Contrôle de Gestion</w:t>
            </w:r>
            <w:r w:rsidDel="00000000" w:rsidR="00000000" w:rsidRPr="00000000">
              <w:rPr>
                <w:rtl w:val="0"/>
              </w:rPr>
            </w:r>
          </w:p>
          <w:p w:rsidR="00000000" w:rsidDel="00000000" w:rsidP="00000000" w:rsidRDefault="00000000" w:rsidRPr="00000000" w14:paraId="00000010">
            <w:pPr>
              <w:spacing w:after="70" w:before="0" w:lineRule="auto"/>
              <w:rPr/>
            </w:pPr>
            <w:r w:rsidDel="00000000" w:rsidR="00000000" w:rsidRPr="00000000">
              <w:rPr>
                <w:rFonts w:ascii="Arial" w:cs="Arial" w:eastAsia="Arial" w:hAnsi="Arial"/>
                <w:color w:val="777777"/>
                <w:sz w:val="18"/>
                <w:szCs w:val="18"/>
                <w:rtl w:val="0"/>
              </w:rPr>
              <w:t xml:space="preserve">IAE Nantes — Université de Nantes  ·  Mention Bien</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Modules clés : Analyse financière avancée, Reporting &amp; Consolidation, Contrôle de gestion opérationnel</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Projet de groupe : modélisation d'un business plan financier sur 5 ans pour une startup greentech (notation : 18/20)</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Certifications obtenues : Tosa Excel Expert (score 892), Bloomberg Market Concepts (BMC)</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15">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2020 – 2023</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17">
            <w:pPr>
              <w:spacing w:after="25" w:before="0" w:lineRule="auto"/>
              <w:rPr/>
            </w:pPr>
            <w:r w:rsidDel="00000000" w:rsidR="00000000" w:rsidRPr="00000000">
              <w:rPr>
                <w:rFonts w:ascii="Arial" w:cs="Arial" w:eastAsia="Arial" w:hAnsi="Arial"/>
                <w:b w:val="1"/>
                <w:bCs w:val="1"/>
                <w:sz w:val="21"/>
                <w:szCs w:val="21"/>
                <w:rtl w:val="0"/>
              </w:rPr>
              <w:t xml:space="preserve">Licence Économie-Gestion — Parcours Finance</w:t>
            </w:r>
            <w:r w:rsidDel="00000000" w:rsidR="00000000" w:rsidRPr="00000000">
              <w:rPr>
                <w:rtl w:val="0"/>
              </w:rPr>
            </w:r>
          </w:p>
          <w:p w:rsidR="00000000" w:rsidDel="00000000" w:rsidP="00000000" w:rsidRDefault="00000000" w:rsidRPr="00000000" w14:paraId="00000018">
            <w:pPr>
              <w:spacing w:after="70" w:before="0" w:lineRule="auto"/>
              <w:rPr/>
            </w:pPr>
            <w:r w:rsidDel="00000000" w:rsidR="00000000" w:rsidRPr="00000000">
              <w:rPr>
                <w:rFonts w:ascii="Arial" w:cs="Arial" w:eastAsia="Arial" w:hAnsi="Arial"/>
                <w:color w:val="777777"/>
                <w:sz w:val="18"/>
                <w:szCs w:val="18"/>
                <w:rtl w:val="0"/>
              </w:rPr>
              <w:t xml:space="preserve">Université de Nantes  ·  Mention Assez Bien</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Prix de l'engagement étudiant 2022 — Junior-Entreprise IAE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5"/>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1B">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2020</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1D">
            <w:pPr>
              <w:spacing w:after="25" w:before="0" w:lineRule="auto"/>
              <w:rPr/>
            </w:pPr>
            <w:r w:rsidDel="00000000" w:rsidR="00000000" w:rsidRPr="00000000">
              <w:rPr>
                <w:rFonts w:ascii="Arial" w:cs="Arial" w:eastAsia="Arial" w:hAnsi="Arial"/>
                <w:b w:val="1"/>
                <w:bCs w:val="1"/>
                <w:sz w:val="21"/>
                <w:szCs w:val="21"/>
                <w:rtl w:val="0"/>
              </w:rPr>
              <w:t xml:space="preserve">Baccalauréat ES — Mention Bien</w:t>
            </w:r>
            <w:r w:rsidDel="00000000" w:rsidR="00000000" w:rsidRPr="00000000">
              <w:rPr>
                <w:rtl w:val="0"/>
              </w:rPr>
            </w:r>
          </w:p>
          <w:p w:rsidR="00000000" w:rsidDel="00000000" w:rsidP="00000000" w:rsidRDefault="00000000" w:rsidRPr="00000000" w14:paraId="0000001E">
            <w:pPr>
              <w:spacing w:after="70" w:before="0" w:lineRule="auto"/>
              <w:rPr/>
            </w:pPr>
            <w:r w:rsidDel="00000000" w:rsidR="00000000" w:rsidRPr="00000000">
              <w:rPr>
                <w:rFonts w:ascii="Arial" w:cs="Arial" w:eastAsia="Arial" w:hAnsi="Arial"/>
                <w:color w:val="777777"/>
                <w:sz w:val="18"/>
                <w:szCs w:val="18"/>
                <w:rtl w:val="0"/>
              </w:rPr>
              <w:t xml:space="preserve">Lycée Clemenceau, Nantes</w:t>
            </w:r>
            <w:r w:rsidDel="00000000" w:rsidR="00000000" w:rsidRPr="00000000">
              <w:rPr>
                <w:rtl w:val="0"/>
              </w:rPr>
            </w:r>
          </w:p>
        </w:tc>
      </w:tr>
    </w:tbl>
    <w:p w:rsidR="00000000" w:rsidDel="00000000" w:rsidP="00000000" w:rsidRDefault="00000000" w:rsidRPr="00000000" w14:paraId="0000001F">
      <w:pPr>
        <w:spacing w:after="60" w:before="0" w:lineRule="auto"/>
        <w:rPr/>
      </w:pPr>
      <w:r w:rsidDel="00000000" w:rsidR="00000000" w:rsidRPr="00000000">
        <w:rPr>
          <w:rtl w:val="0"/>
        </w:rPr>
      </w:r>
    </w:p>
    <w:p w:rsidR="00000000" w:rsidDel="00000000" w:rsidP="00000000" w:rsidRDefault="00000000" w:rsidRPr="00000000" w14:paraId="00000020">
      <w:pPr>
        <w:spacing w:after="60" w:before="240" w:lineRule="auto"/>
        <w:rPr/>
      </w:pPr>
      <w:r w:rsidDel="00000000" w:rsidR="00000000" w:rsidRPr="00000000">
        <w:rPr>
          <w:rFonts w:ascii="Arial" w:cs="Arial" w:eastAsia="Arial" w:hAnsi="Arial"/>
          <w:b w:val="1"/>
          <w:bCs w:val="1"/>
          <w:color w:val="1b2631"/>
          <w:sz w:val="22"/>
          <w:szCs w:val="22"/>
          <w:rtl w:val="0"/>
        </w:rPr>
        <w:t xml:space="preserve">EXPÉRIENCES PROFESSIONNELLES — CHRONOLOGIE</w:t>
      </w:r>
      <w:r w:rsidDel="00000000" w:rsidR="00000000" w:rsidRPr="00000000">
        <w:rPr>
          <w:rtl w:val="0"/>
        </w:rPr>
      </w:r>
    </w:p>
    <w:p w:rsidR="00000000" w:rsidDel="00000000" w:rsidP="00000000" w:rsidRDefault="00000000" w:rsidRPr="00000000" w14:paraId="00000021">
      <w:pPr>
        <w:pBdr>
          <w:bottom w:color="b7950b" w:space="1" w:sz="4" w:val="single"/>
        </w:pBdr>
        <w:spacing w:after="100" w:before="0" w:lineRule="auto"/>
        <w:rPr/>
      </w:pPr>
      <w:r w:rsidDel="00000000" w:rsidR="00000000" w:rsidRPr="00000000">
        <w:rPr>
          <w:rtl w:val="0"/>
        </w:rPr>
      </w:r>
    </w:p>
    <w:tbl>
      <w:tblPr>
        <w:tblStyle w:val="Table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8206"/>
        <w:tblGridChange w:id="0">
          <w:tblGrid>
            <w:gridCol w:w="2000"/>
            <w:gridCol w:w="820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23">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Jan – Juin 2025</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25">
            <w:pPr>
              <w:spacing w:after="25" w:before="0" w:lineRule="auto"/>
              <w:rPr/>
            </w:pPr>
            <w:r w:rsidDel="00000000" w:rsidR="00000000" w:rsidRPr="00000000">
              <w:rPr>
                <w:rFonts w:ascii="Arial" w:cs="Arial" w:eastAsia="Arial" w:hAnsi="Arial"/>
                <w:b w:val="1"/>
                <w:bCs w:val="1"/>
                <w:sz w:val="21"/>
                <w:szCs w:val="21"/>
                <w:rtl w:val="0"/>
              </w:rPr>
              <w:t xml:space="preserve">Stage Contrôle de Gestion (6 mois)</w:t>
            </w:r>
            <w:r w:rsidDel="00000000" w:rsidR="00000000" w:rsidRPr="00000000">
              <w:rPr>
                <w:rtl w:val="0"/>
              </w:rPr>
            </w:r>
          </w:p>
          <w:p w:rsidR="00000000" w:rsidDel="00000000" w:rsidP="00000000" w:rsidRDefault="00000000" w:rsidRPr="00000000" w14:paraId="00000026">
            <w:pPr>
              <w:spacing w:after="70" w:before="0" w:lineRule="auto"/>
              <w:rPr/>
            </w:pPr>
            <w:r w:rsidDel="00000000" w:rsidR="00000000" w:rsidRPr="00000000">
              <w:rPr>
                <w:rFonts w:ascii="Arial" w:cs="Arial" w:eastAsia="Arial" w:hAnsi="Arial"/>
                <w:color w:val="777777"/>
                <w:sz w:val="18"/>
                <w:szCs w:val="18"/>
                <w:rtl w:val="0"/>
              </w:rPr>
              <w:t xml:space="preserve">Groupe Beneteau, Saint-Gilles-Croix-de-Vie</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Participation à l'élaboration du budget annuel et au suivi mensuel des écarts budgétaires</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Production du reporting mensuel de performance (CA, marges, frais généraux) — tableaux de bord Excel/Power BI</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Analyse ad hoc sur les coûts de production de 3 gammes de produits</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Automatisation de 4 reportings mensuels via macros Excel — gain de 6h/mois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8"/>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2C">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Juil – Août 2023</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2E">
            <w:pPr>
              <w:spacing w:after="25" w:before="0" w:lineRule="auto"/>
              <w:rPr/>
            </w:pPr>
            <w:r w:rsidDel="00000000" w:rsidR="00000000" w:rsidRPr="00000000">
              <w:rPr>
                <w:rFonts w:ascii="Arial" w:cs="Arial" w:eastAsia="Arial" w:hAnsi="Arial"/>
                <w:b w:val="1"/>
                <w:bCs w:val="1"/>
                <w:sz w:val="21"/>
                <w:szCs w:val="21"/>
                <w:rtl w:val="0"/>
              </w:rPr>
              <w:t xml:space="preserve">Stage Assistant Comptable &amp; Financier (2 mois)</w:t>
            </w:r>
            <w:r w:rsidDel="00000000" w:rsidR="00000000" w:rsidRPr="00000000">
              <w:rPr>
                <w:rtl w:val="0"/>
              </w:rPr>
            </w:r>
          </w:p>
          <w:p w:rsidR="00000000" w:rsidDel="00000000" w:rsidP="00000000" w:rsidRDefault="00000000" w:rsidRPr="00000000" w14:paraId="0000002F">
            <w:pPr>
              <w:spacing w:after="70" w:before="0" w:lineRule="auto"/>
              <w:rPr/>
            </w:pPr>
            <w:r w:rsidDel="00000000" w:rsidR="00000000" w:rsidRPr="00000000">
              <w:rPr>
                <w:rFonts w:ascii="Arial" w:cs="Arial" w:eastAsia="Arial" w:hAnsi="Arial"/>
                <w:color w:val="777777"/>
                <w:sz w:val="18"/>
                <w:szCs w:val="18"/>
                <w:rtl w:val="0"/>
              </w:rPr>
              <w:t xml:space="preserve">Cabinet Fiduciaire Lebrun &amp; Associés, Nantes</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Saisie comptable, rapprochements bancaires, préparation des déclarations TVA</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Classement et archivage de dossiers clients (portefeuille de 80 PME)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60.0" w:type="dxa"/>
              <w:right w:w="120.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0"/>
              <w:tblGridChange w:id="0">
                <w:tblGrid>
                  <w:gridCol w:w="1880"/>
                </w:tblGrid>
              </w:tblGridChange>
            </w:tblGrid>
            <w:tr>
              <w:trPr>
                <w:cantSplit w:val="0"/>
                <w:tblHeader w:val="0"/>
              </w:trPr>
              <w:tc>
                <w:tcPr>
                  <w:shd w:fill="fef9e7" w:val="clear"/>
                  <w:tcMar>
                    <w:top w:w="60.0" w:type="dxa"/>
                    <w:left w:w="80.0" w:type="dxa"/>
                    <w:bottom w:w="60.0" w:type="dxa"/>
                    <w:right w:w="80.0" w:type="dxa"/>
                  </w:tcMar>
                </w:tcPr>
                <w:p w:rsidR="00000000" w:rsidDel="00000000" w:rsidP="00000000" w:rsidRDefault="00000000" w:rsidRPr="00000000" w14:paraId="00000033">
                  <w:pPr>
                    <w:spacing w:after="0" w:before="0" w:lineRule="auto"/>
                    <w:jc w:val="center"/>
                    <w:rPr/>
                  </w:pPr>
                  <w:r w:rsidDel="00000000" w:rsidR="00000000" w:rsidRPr="00000000">
                    <w:rPr>
                      <w:rFonts w:ascii="Arial" w:cs="Arial" w:eastAsia="Arial" w:hAnsi="Arial"/>
                      <w:b w:val="1"/>
                      <w:bCs w:val="1"/>
                      <w:color w:val="b7950b"/>
                      <w:sz w:val="17"/>
                      <w:szCs w:val="17"/>
                      <w:rtl w:val="0"/>
                    </w:rPr>
                    <w:t xml:space="preserve">2022 – 2023</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60.0" w:type="dxa"/>
              <w:bottom w:w="80.0" w:type="dxa"/>
              <w:right w:w="0.0" w:type="dxa"/>
            </w:tcMar>
          </w:tcPr>
          <w:p w:rsidR="00000000" w:rsidDel="00000000" w:rsidP="00000000" w:rsidRDefault="00000000" w:rsidRPr="00000000" w14:paraId="00000035">
            <w:pPr>
              <w:spacing w:after="25" w:before="0" w:lineRule="auto"/>
              <w:rPr/>
            </w:pPr>
            <w:r w:rsidDel="00000000" w:rsidR="00000000" w:rsidRPr="00000000">
              <w:rPr>
                <w:rFonts w:ascii="Arial" w:cs="Arial" w:eastAsia="Arial" w:hAnsi="Arial"/>
                <w:b w:val="1"/>
                <w:bCs w:val="1"/>
                <w:sz w:val="21"/>
                <w:szCs w:val="21"/>
                <w:rtl w:val="0"/>
              </w:rPr>
              <w:t xml:space="preserve">Trésorière — Junior-Entreprise IAE Nantes</w:t>
            </w:r>
            <w:r w:rsidDel="00000000" w:rsidR="00000000" w:rsidRPr="00000000">
              <w:rPr>
                <w:rtl w:val="0"/>
              </w:rPr>
            </w:r>
          </w:p>
          <w:p w:rsidR="00000000" w:rsidDel="00000000" w:rsidP="00000000" w:rsidRDefault="00000000" w:rsidRPr="00000000" w14:paraId="00000036">
            <w:pPr>
              <w:spacing w:after="70" w:before="0" w:lineRule="auto"/>
              <w:rPr/>
            </w:pPr>
            <w:r w:rsidDel="00000000" w:rsidR="00000000" w:rsidRPr="00000000">
              <w:rPr>
                <w:rFonts w:ascii="Arial" w:cs="Arial" w:eastAsia="Arial" w:hAnsi="Arial"/>
                <w:color w:val="777777"/>
                <w:sz w:val="18"/>
                <w:szCs w:val="18"/>
                <w:rtl w:val="0"/>
              </w:rPr>
              <w:t xml:space="preserve">Bénévolat / Expérience associative</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Gestion du budget annuel de l'association (12 000€), suivi de trésorerie et facturation clients</w:t>
            </w:r>
            <w:r w:rsidDel="00000000" w:rsidR="00000000" w:rsidRPr="00000000">
              <w:rPr>
                <w:rtl w:val="0"/>
              </w:rPr>
            </w:r>
          </w:p>
        </w:tc>
      </w:tr>
    </w:tbl>
    <w:p w:rsidR="00000000" w:rsidDel="00000000" w:rsidP="00000000" w:rsidRDefault="00000000" w:rsidRPr="00000000" w14:paraId="00000038">
      <w:pPr>
        <w:spacing w:after="60" w:before="0" w:lineRule="auto"/>
        <w:rPr/>
      </w:pPr>
      <w:r w:rsidDel="00000000" w:rsidR="00000000" w:rsidRPr="00000000">
        <w:rPr>
          <w:rtl w:val="0"/>
        </w:rPr>
      </w:r>
    </w:p>
    <w:p w:rsidR="00000000" w:rsidDel="00000000" w:rsidP="00000000" w:rsidRDefault="00000000" w:rsidRPr="00000000" w14:paraId="00000039">
      <w:pPr>
        <w:spacing w:after="60" w:before="240" w:lineRule="auto"/>
        <w:rPr/>
      </w:pPr>
      <w:r w:rsidDel="00000000" w:rsidR="00000000" w:rsidRPr="00000000">
        <w:rPr>
          <w:rFonts w:ascii="Arial" w:cs="Arial" w:eastAsia="Arial" w:hAnsi="Arial"/>
          <w:b w:val="1"/>
          <w:bCs w:val="1"/>
          <w:color w:val="1b2631"/>
          <w:sz w:val="22"/>
          <w:szCs w:val="22"/>
          <w:rtl w:val="0"/>
        </w:rPr>
        <w:t xml:space="preserve">COMPÉTENCES &amp; LANGUES</w:t>
      </w:r>
      <w:r w:rsidDel="00000000" w:rsidR="00000000" w:rsidRPr="00000000">
        <w:rPr>
          <w:rtl w:val="0"/>
        </w:rPr>
      </w:r>
    </w:p>
    <w:p w:rsidR="00000000" w:rsidDel="00000000" w:rsidP="00000000" w:rsidRDefault="00000000" w:rsidRPr="00000000" w14:paraId="0000003A">
      <w:pPr>
        <w:pBdr>
          <w:bottom w:color="b7950b" w:space="1" w:sz="4" w:val="single"/>
        </w:pBdr>
        <w:spacing w:after="100" w:before="0" w:lineRule="auto"/>
        <w:rPr/>
      </w:pPr>
      <w:r w:rsidDel="00000000" w:rsidR="00000000" w:rsidRPr="00000000">
        <w:rPr>
          <w:rtl w:val="0"/>
        </w:rPr>
      </w:r>
    </w:p>
    <w:tbl>
      <w:tblPr>
        <w:tblStyle w:val="Table10"/>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5103"/>
        <w:tblGridChange w:id="0">
          <w:tblGrid>
            <w:gridCol w:w="5103"/>
            <w:gridCol w:w="51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120.0" w:type="dxa"/>
            </w:tcMar>
          </w:tcPr>
          <w:p w:rsidR="00000000" w:rsidDel="00000000" w:rsidP="00000000" w:rsidRDefault="00000000" w:rsidRPr="00000000" w14:paraId="0000003B">
            <w:pPr>
              <w:spacing w:after="30" w:before="0" w:lineRule="auto"/>
              <w:rPr/>
            </w:pPr>
            <w:r w:rsidDel="00000000" w:rsidR="00000000" w:rsidRPr="00000000">
              <w:rPr>
                <w:rFonts w:ascii="Arial" w:cs="Arial" w:eastAsia="Arial" w:hAnsi="Arial"/>
                <w:b w:val="1"/>
                <w:bCs w:val="1"/>
                <w:color w:val="b7950b"/>
                <w:sz w:val="18"/>
                <w:szCs w:val="18"/>
                <w:rtl w:val="0"/>
              </w:rPr>
              <w:t xml:space="preserve">Finance &amp; Contrôle :</w:t>
            </w:r>
            <w:r w:rsidDel="00000000" w:rsidR="00000000" w:rsidRPr="00000000">
              <w:rPr>
                <w:rtl w:val="0"/>
              </w:rPr>
            </w:r>
          </w:p>
          <w:p w:rsidR="00000000" w:rsidDel="00000000" w:rsidP="00000000" w:rsidRDefault="00000000" w:rsidRPr="00000000" w14:paraId="0000003C">
            <w:pPr>
              <w:spacing w:after="35" w:before="0" w:lineRule="auto"/>
              <w:rPr/>
            </w:pPr>
            <w:r w:rsidDel="00000000" w:rsidR="00000000" w:rsidRPr="00000000">
              <w:rPr>
                <w:rFonts w:ascii="Arial" w:cs="Arial" w:eastAsia="Arial" w:hAnsi="Arial"/>
                <w:sz w:val="18"/>
                <w:szCs w:val="18"/>
                <w:rtl w:val="0"/>
              </w:rPr>
              <w:t xml:space="preserve">Reporting, Budget, Analyse des écarts</w:t>
            </w:r>
            <w:r w:rsidDel="00000000" w:rsidR="00000000" w:rsidRPr="00000000">
              <w:rPr>
                <w:rtl w:val="0"/>
              </w:rPr>
            </w:r>
          </w:p>
          <w:p w:rsidR="00000000" w:rsidDel="00000000" w:rsidP="00000000" w:rsidRDefault="00000000" w:rsidRPr="00000000" w14:paraId="0000003D">
            <w:pPr>
              <w:spacing w:after="55" w:before="0" w:lineRule="auto"/>
              <w:rPr/>
            </w:pPr>
            <w:r w:rsidDel="00000000" w:rsidR="00000000" w:rsidRPr="00000000">
              <w:rPr>
                <w:rFonts w:ascii="Arial" w:cs="Arial" w:eastAsia="Arial" w:hAnsi="Arial"/>
                <w:sz w:val="18"/>
                <w:szCs w:val="18"/>
                <w:rtl w:val="0"/>
              </w:rPr>
              <w:t xml:space="preserve">Consolidation, Tableaux de bord, KPIs</w:t>
            </w:r>
            <w:r w:rsidDel="00000000" w:rsidR="00000000" w:rsidRPr="00000000">
              <w:rPr>
                <w:rtl w:val="0"/>
              </w:rPr>
            </w:r>
          </w:p>
          <w:p w:rsidR="00000000" w:rsidDel="00000000" w:rsidP="00000000" w:rsidRDefault="00000000" w:rsidRPr="00000000" w14:paraId="0000003E">
            <w:pPr>
              <w:spacing w:after="35" w:before="0" w:lineRule="auto"/>
              <w:rPr/>
            </w:pPr>
            <w:r w:rsidDel="00000000" w:rsidR="00000000" w:rsidRPr="00000000">
              <w:rPr>
                <w:rFonts w:ascii="Arial" w:cs="Arial" w:eastAsia="Arial" w:hAnsi="Arial"/>
                <w:b w:val="1"/>
                <w:bCs w:val="1"/>
                <w:color w:val="b7950b"/>
                <w:sz w:val="18"/>
                <w:szCs w:val="18"/>
                <w:rtl w:val="0"/>
              </w:rPr>
              <w:t xml:space="preserve">Outils :</w:t>
            </w:r>
            <w:r w:rsidDel="00000000" w:rsidR="00000000" w:rsidRPr="00000000">
              <w:rPr>
                <w:rtl w:val="0"/>
              </w:rPr>
            </w:r>
          </w:p>
          <w:p w:rsidR="00000000" w:rsidDel="00000000" w:rsidP="00000000" w:rsidRDefault="00000000" w:rsidRPr="00000000" w14:paraId="0000003F">
            <w:pPr>
              <w:spacing w:after="35" w:before="0" w:lineRule="auto"/>
              <w:rPr/>
            </w:pPr>
            <w:r w:rsidDel="00000000" w:rsidR="00000000" w:rsidRPr="00000000">
              <w:rPr>
                <w:rFonts w:ascii="Arial" w:cs="Arial" w:eastAsia="Arial" w:hAnsi="Arial"/>
                <w:sz w:val="18"/>
                <w:szCs w:val="18"/>
                <w:rtl w:val="0"/>
              </w:rPr>
              <w:t xml:space="preserve">Excel Expert (TCD, VBA, macros), SAP FI-CO, Power BI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120.0" w:type="dxa"/>
              <w:bottom w:w="60.0" w:type="dxa"/>
              <w:right w:w="0.0" w:type="dxa"/>
            </w:tcMar>
          </w:tcPr>
          <w:p w:rsidR="00000000" w:rsidDel="00000000" w:rsidP="00000000" w:rsidRDefault="00000000" w:rsidRPr="00000000" w14:paraId="00000040">
            <w:pPr>
              <w:spacing w:after="30" w:before="0" w:lineRule="auto"/>
              <w:rPr/>
            </w:pPr>
            <w:r w:rsidDel="00000000" w:rsidR="00000000" w:rsidRPr="00000000">
              <w:rPr>
                <w:rFonts w:ascii="Arial" w:cs="Arial" w:eastAsia="Arial" w:hAnsi="Arial"/>
                <w:b w:val="1"/>
                <w:bCs w:val="1"/>
                <w:color w:val="b7950b"/>
                <w:sz w:val="18"/>
                <w:szCs w:val="18"/>
                <w:rtl w:val="0"/>
              </w:rPr>
              <w:t xml:space="preserve">Langues :</w:t>
            </w:r>
            <w:r w:rsidDel="00000000" w:rsidR="00000000" w:rsidRPr="00000000">
              <w:rPr>
                <w:rtl w:val="0"/>
              </w:rPr>
            </w:r>
          </w:p>
          <w:p w:rsidR="00000000" w:rsidDel="00000000" w:rsidP="00000000" w:rsidRDefault="00000000" w:rsidRPr="00000000" w14:paraId="00000041">
            <w:pPr>
              <w:spacing w:after="35" w:before="0" w:lineRule="auto"/>
              <w:rPr/>
            </w:pPr>
            <w:r w:rsidDel="00000000" w:rsidR="00000000" w:rsidRPr="00000000">
              <w:rPr>
                <w:rFonts w:ascii="Arial" w:cs="Arial" w:eastAsia="Arial" w:hAnsi="Arial"/>
                <w:sz w:val="18"/>
                <w:szCs w:val="18"/>
                <w:rtl w:val="0"/>
              </w:rPr>
              <w:t xml:space="preserve">Français — Langue maternelle</w:t>
            </w:r>
            <w:r w:rsidDel="00000000" w:rsidR="00000000" w:rsidRPr="00000000">
              <w:rPr>
                <w:rtl w:val="0"/>
              </w:rPr>
            </w:r>
          </w:p>
          <w:p w:rsidR="00000000" w:rsidDel="00000000" w:rsidP="00000000" w:rsidRDefault="00000000" w:rsidRPr="00000000" w14:paraId="00000042">
            <w:pPr>
              <w:spacing w:after="35" w:before="0" w:lineRule="auto"/>
              <w:rPr/>
            </w:pPr>
            <w:r w:rsidDel="00000000" w:rsidR="00000000" w:rsidRPr="00000000">
              <w:rPr>
                <w:rFonts w:ascii="Arial" w:cs="Arial" w:eastAsia="Arial" w:hAnsi="Arial"/>
                <w:sz w:val="18"/>
                <w:szCs w:val="18"/>
                <w:rtl w:val="0"/>
              </w:rPr>
              <w:t xml:space="preserve">Anglais — Courant (TOEIC 870) — usage professionnel</w:t>
            </w:r>
            <w:r w:rsidDel="00000000" w:rsidR="00000000" w:rsidRPr="00000000">
              <w:rPr>
                <w:rtl w:val="0"/>
              </w:rPr>
            </w:r>
          </w:p>
          <w:p w:rsidR="00000000" w:rsidDel="00000000" w:rsidP="00000000" w:rsidRDefault="00000000" w:rsidRPr="00000000" w14:paraId="00000043">
            <w:pPr>
              <w:spacing w:after="55" w:before="0" w:lineRule="auto"/>
              <w:rPr/>
            </w:pPr>
            <w:r w:rsidDel="00000000" w:rsidR="00000000" w:rsidRPr="00000000">
              <w:rPr>
                <w:rFonts w:ascii="Arial" w:cs="Arial" w:eastAsia="Arial" w:hAnsi="Arial"/>
                <w:sz w:val="18"/>
                <w:szCs w:val="18"/>
                <w:rtl w:val="0"/>
              </w:rPr>
              <w:t xml:space="preserve">Vietnamien — Bilingue (langue familiale)</w:t>
            </w:r>
            <w:r w:rsidDel="00000000" w:rsidR="00000000" w:rsidRPr="00000000">
              <w:rPr>
                <w:rtl w:val="0"/>
              </w:rPr>
            </w:r>
          </w:p>
          <w:p w:rsidR="00000000" w:rsidDel="00000000" w:rsidP="00000000" w:rsidRDefault="00000000" w:rsidRPr="00000000" w14:paraId="00000044">
            <w:pPr>
              <w:spacing w:after="35" w:before="0" w:lineRule="auto"/>
              <w:rPr/>
            </w:pPr>
            <w:r w:rsidDel="00000000" w:rsidR="00000000" w:rsidRPr="00000000">
              <w:rPr>
                <w:rFonts w:ascii="Arial" w:cs="Arial" w:eastAsia="Arial" w:hAnsi="Arial"/>
                <w:b w:val="1"/>
                <w:bCs w:val="1"/>
                <w:color w:val="b7950b"/>
                <w:sz w:val="18"/>
                <w:szCs w:val="18"/>
                <w:rtl w:val="0"/>
              </w:rPr>
              <w:t xml:space="preserve">Divers :</w:t>
            </w:r>
            <w:r w:rsidDel="00000000" w:rsidR="00000000" w:rsidRPr="00000000">
              <w:rPr>
                <w:rtl w:val="0"/>
              </w:rPr>
            </w:r>
          </w:p>
          <w:p w:rsidR="00000000" w:rsidDel="00000000" w:rsidP="00000000" w:rsidRDefault="00000000" w:rsidRPr="00000000" w14:paraId="00000045">
            <w:pPr>
              <w:spacing w:after="35" w:before="0" w:lineRule="auto"/>
              <w:rPr/>
            </w:pPr>
            <w:r w:rsidDel="00000000" w:rsidR="00000000" w:rsidRPr="00000000">
              <w:rPr>
                <w:rFonts w:ascii="Arial" w:cs="Arial" w:eastAsia="Arial" w:hAnsi="Arial"/>
                <w:sz w:val="18"/>
                <w:szCs w:val="18"/>
                <w:rtl w:val="0"/>
              </w:rPr>
              <w:t xml:space="preserve">Permis B  ·  Disponibilité immédiate</w:t>
            </w: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850.3937007874016"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