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0"/>
        <w:gridCol w:w="8506"/>
        <w:tblGridChange w:id="0">
          <w:tblGrid>
            <w:gridCol w:w="1700"/>
            <w:gridCol w:w="850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2">
            <w:pPr>
              <w:spacing w:after="20" w:lineRule="auto"/>
              <w:rPr/>
            </w:pPr>
            <w:r w:rsidDel="00000000" w:rsidR="00000000" w:rsidRPr="00000000">
              <w:rPr>
                <w:b w:val="1"/>
                <w:bCs w:val="1"/>
                <w:color w:val="1b2631"/>
                <w:sz w:val="42"/>
                <w:szCs w:val="42"/>
                <w:rtl w:val="0"/>
              </w:rPr>
              <w:t xml:space="preserve">PIERRE LECONTE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40" w:lineRule="auto"/>
              <w:rPr/>
            </w:pPr>
            <w:r w:rsidDel="00000000" w:rsidR="00000000" w:rsidRPr="00000000">
              <w:rPr>
                <w:color w:val="1a5276"/>
                <w:sz w:val="22"/>
                <w:szCs w:val="22"/>
                <w:rtl w:val="0"/>
              </w:rPr>
              <w:t xml:space="preserve">Directeur Commercial | 15 ans d'expérience B2B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0" w:lineRule="auto"/>
              <w:rPr/>
            </w:pPr>
            <w:r w:rsidDel="00000000" w:rsidR="00000000" w:rsidRPr="00000000">
              <w:rPr>
                <w:color w:val="555555"/>
                <w:sz w:val="19"/>
                <w:szCs w:val="19"/>
                <w:rtl w:val="0"/>
              </w:rPr>
              <w:t xml:space="preserve">pierre.leconte@email.com   |   +33 6 12 23 34 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0" w:lineRule="auto"/>
              <w:rPr/>
            </w:pPr>
            <w:r w:rsidDel="00000000" w:rsidR="00000000" w:rsidRPr="00000000">
              <w:rPr>
                <w:color w:val="555555"/>
                <w:sz w:val="19"/>
                <w:szCs w:val="19"/>
                <w:rtl w:val="0"/>
              </w:rPr>
              <w:t xml:space="preserve">Strasbourg, France   |   linkedin.com/in/pierre-leconte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En recherche active — Disponible sous 1 mois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SYNTHÈSE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before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Directeur Commercial expérimenté (15 ans) dans les secteurs industrie et services aux entreprises. Expertise avérée dans le développement de portefeuilles clients grands comptes (CA géré jusqu'à 12M€), le management d'équipes commerciales (12 personnes max.) et la mise en place de stratégies de croissance B2B. Bilan de reconversion suite à restructuration d'entreprise — recherche un nouveau challenge à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RÉALISATIONS CLÉS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3781"/>
        <w:gridCol w:w="3212"/>
        <w:tblGridChange w:id="0">
          <w:tblGrid>
            <w:gridCol w:w="3213"/>
            <w:gridCol w:w="3781"/>
            <w:gridCol w:w="3212"/>
          </w:tblGrid>
        </w:tblGridChange>
      </w:tblGrid>
      <w:tr>
        <w:trPr>
          <w:cantSplit w:val="0"/>
          <w:tblHeader w:val="0"/>
        </w:trPr>
        <w:tc>
          <w:tcPr>
            <w:shd w:fill="ebf5f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3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+38%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de CA en 3 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sur le périmètre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france entière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5f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3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12M€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de CA annuel géré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en tant que Dir.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Commercial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5f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3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92%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de taux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fidélisation clients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sur 5 ans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EXPÉRIENCES PROFESSIONNELLES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1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631"/>
          <w:sz w:val="22"/>
          <w:szCs w:val="22"/>
          <w:rtl w:val="0"/>
        </w:rPr>
        <w:t xml:space="preserve">Directeur Commercial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Groupe Technimétal (industrie, 800 pers.)  — 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Mars 2018 – Décembre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Direction d'une équipe de 12 commerciaux terrain et sédentaires (objectifs, formation, recrutement)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Gestion d'un portefeuille de 80 comptes clients grands comptes (collectivités, ETI industrielles)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Déploiement d'une stratégie Account Based Marketing — +38% de CA en 3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Négociation et signature de contrats cadre multi-annuels (valeur unitaire 200k€ à 1,5M€)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Implémentation et adoption du CRM Salesforce — 100% équipe active en 4 mois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Départ suite à plan de restructuration (suppression du poste de Directeur Commercial France)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1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631"/>
          <w:sz w:val="22"/>
          <w:szCs w:val="22"/>
          <w:rtl w:val="0"/>
        </w:rPr>
        <w:t xml:space="preserve">Responsable Comptes Clés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Dataserv Solutions (SaaS B2B)  — 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Septembre 2014 – Février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Développement d'un portefeuille de 25 comptes nationaux (CA géré : 4,2M€)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Taux de renouvellement des contrats annuels : 94%  — au-dessus de l'objectif de 85%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Coordination avec les équipes produit et delivery pour les projets clients stratégiques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1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631"/>
          <w:sz w:val="22"/>
          <w:szCs w:val="22"/>
          <w:rtl w:val="0"/>
        </w:rPr>
        <w:t xml:space="preserve">Ingénieur Commercial 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Atos SE — Division Infrastructure  — 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Juillet 2010 – Août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Prospection et développement de comptes dans le secteur bancaire et assurance (Île-de-France)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Réalisation de réponses à appels d'offres complexes (lots techniques + commerciaux)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FORMATION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MBA Management Stratégique &amp; Commercial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9"/>
          <w:szCs w:val="19"/>
          <w:rtl w:val="0"/>
        </w:rPr>
        <w:t xml:space="preserve">ESSEC Business School  ·  2008 –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Licence Mathématiques Appliquées — Université Paris XI  ·  2005 –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19"/>
          <w:szCs w:val="19"/>
          <w:rtl w:val="0"/>
        </w:rPr>
        <w:t xml:space="preserve">Certifications 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Salesforce Certified Sales Cloud Consultant (2022)  ·  Certification Manager Coach (2020)  ·  TOEIC 945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3781"/>
        <w:gridCol w:w="3212"/>
        <w:tblGridChange w:id="0">
          <w:tblGrid>
            <w:gridCol w:w="3213"/>
            <w:gridCol w:w="3781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Commercial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Négociation complexe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Key Account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Prévisions de ventes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Appels d'offres B2B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Management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Animation d'équipes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Fixation d'objectifs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Coaching &amp; Recrutement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Gestion des performances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Outils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Salesforce CRM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HubSpot, Pipedrive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Power BI, Tableau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Pack Office Expert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566.9291338582677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