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20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700"/>
        <w:gridCol w:w="8506"/>
        <w:tblGridChange w:id="0">
          <w:tblGrid>
            <w:gridCol w:w="1700"/>
            <w:gridCol w:w="8506"/>
          </w:tblGrid>
        </w:tblGridChange>
      </w:tblGrid>
      <w:tr>
        <w:trPr>
          <w:cantSplit w:val="0"/>
          <w:trHeight w:val="480" w:hRule="atLeast"/>
          <w:tblHeader w:val="0"/>
        </w:trPr>
        <w:tc>
          <w:tcPr>
            <w:gridSpan w:val="2"/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02">
            <w:pPr>
              <w:spacing w:after="20" w:lineRule="auto"/>
              <w:rPr/>
            </w:pPr>
            <w:r w:rsidDel="00000000" w:rsidR="00000000" w:rsidRPr="00000000">
              <w:rPr>
                <w:b w:val="1"/>
                <w:bCs w:val="1"/>
                <w:color w:val="1b2631"/>
                <w:sz w:val="42"/>
                <w:szCs w:val="42"/>
                <w:rtl w:val="0"/>
              </w:rPr>
              <w:t xml:space="preserve">PIERRE LECONTE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3">
            <w:pPr>
              <w:spacing w:after="40" w:lineRule="auto"/>
              <w:rPr/>
            </w:pPr>
            <w:r w:rsidDel="00000000" w:rsidR="00000000" w:rsidRPr="00000000">
              <w:rPr>
                <w:color w:val="1a5276"/>
                <w:sz w:val="22"/>
                <w:szCs w:val="22"/>
                <w:rtl w:val="0"/>
              </w:rPr>
              <w:t xml:space="preserve">Directeur Commercial | 15 ans d'expérience B2B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4">
            <w:pPr>
              <w:spacing w:after="30" w:lineRule="auto"/>
              <w:rPr/>
            </w:pPr>
            <w:r w:rsidDel="00000000" w:rsidR="00000000" w:rsidRPr="00000000">
              <w:rPr>
                <w:color w:val="555555"/>
                <w:sz w:val="19"/>
                <w:szCs w:val="19"/>
                <w:rtl w:val="0"/>
              </w:rPr>
              <w:t xml:space="preserve">pierre.leconte@email.com   |   +33 6 12 23 34 45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5">
            <w:pPr>
              <w:spacing w:after="20" w:lineRule="auto"/>
              <w:rPr/>
            </w:pPr>
            <w:r w:rsidDel="00000000" w:rsidR="00000000" w:rsidRPr="00000000">
              <w:rPr>
                <w:color w:val="555555"/>
                <w:sz w:val="19"/>
                <w:szCs w:val="19"/>
                <w:rtl w:val="0"/>
              </w:rPr>
              <w:t xml:space="preserve">Strasbourg, France   |   linkedin.com/in/pierre-leconte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rPr/>
            </w:pPr>
            <w:r w:rsidDel="00000000" w:rsidR="00000000" w:rsidRPr="00000000">
              <w:rPr>
                <w:b w:val="1"/>
                <w:bCs w:val="1"/>
                <w:color w:val="1a5276"/>
                <w:sz w:val="18"/>
                <w:szCs w:val="18"/>
                <w:rtl w:val="0"/>
              </w:rPr>
              <w:t xml:space="preserve">En recherche active — Disponible sous 1 mois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8">
      <w:pPr>
        <w:spacing w:after="180" w:before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60" w:before="22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a5276"/>
          <w:sz w:val="22"/>
          <w:szCs w:val="22"/>
          <w:rtl w:val="0"/>
        </w:rPr>
        <w:t xml:space="preserve">SYNTHÈSE PROFESSIONNELLE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Bdr>
          <w:bottom w:color="1a5276" w:space="1" w:sz="5" w:val="single"/>
        </w:pBdr>
        <w:spacing w:after="120" w:before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180" w:before="0" w:lineRule="auto"/>
        <w:rPr/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Directeur Commercial expérimenté (15 ans) dans les secteurs industrie et services aux entreprises. Expertise avérée dans le développement de portefeuilles clients grands comptes (CA géré jusqu'à 12M€), le management d'équipes commerciales (12 personnes max.) et la mise en place de stratégies de croissance B2B. Bilan de reconversion suite à restructuration d'entreprise — recherche un nouveau challenge à impact.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60" w:before="22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a5276"/>
          <w:sz w:val="22"/>
          <w:szCs w:val="22"/>
          <w:rtl w:val="0"/>
        </w:rPr>
        <w:t xml:space="preserve">RÉALISATIONS CLÉS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Bdr>
          <w:bottom w:color="1a5276" w:space="1" w:sz="5" w:val="single"/>
        </w:pBdr>
        <w:spacing w:after="120" w:before="0" w:lineRule="auto"/>
        <w:rPr/>
      </w:pPr>
      <w:r w:rsidDel="00000000" w:rsidR="00000000" w:rsidRPr="00000000">
        <w:rPr>
          <w:rtl w:val="0"/>
        </w:rPr>
      </w:r>
    </w:p>
    <w:tbl>
      <w:tblPr>
        <w:tblStyle w:val="Table2"/>
        <w:tblW w:w="10206.000000000002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213"/>
        <w:gridCol w:w="3781"/>
        <w:gridCol w:w="3212"/>
        <w:tblGridChange w:id="0">
          <w:tblGrid>
            <w:gridCol w:w="3213"/>
            <w:gridCol w:w="3781"/>
            <w:gridCol w:w="3212"/>
          </w:tblGrid>
        </w:tblGridChange>
      </w:tblGrid>
      <w:tr>
        <w:trPr>
          <w:cantSplit w:val="0"/>
          <w:tblHeader w:val="0"/>
        </w:trPr>
        <w:tc>
          <w:tcPr>
            <w:shd w:fill="ebf5fb" w:val="clear"/>
            <w:tcMar>
              <w:top w:w="120.0" w:type="dxa"/>
              <w:left w:w="120.0" w:type="dxa"/>
              <w:bottom w:w="120.0" w:type="dxa"/>
              <w:right w:w="120.0" w:type="dxa"/>
            </w:tcMar>
          </w:tcPr>
          <w:p w:rsidR="00000000" w:rsidDel="00000000" w:rsidP="00000000" w:rsidRDefault="00000000" w:rsidRPr="00000000" w14:paraId="0000000E">
            <w:pPr>
              <w:spacing w:after="30" w:before="0" w:lineRule="auto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1a5276"/>
                <w:sz w:val="40"/>
                <w:szCs w:val="40"/>
                <w:rtl w:val="0"/>
              </w:rPr>
              <w:t xml:space="preserve">+38%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spacing w:after="20" w:before="0" w:lineRule="auto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color w:val="555555"/>
                <w:sz w:val="16"/>
                <w:szCs w:val="16"/>
                <w:rtl w:val="0"/>
              </w:rPr>
              <w:t xml:space="preserve">de CA en 3 ans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spacing w:after="20" w:before="0" w:lineRule="auto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color w:val="555555"/>
                <w:sz w:val="16"/>
                <w:szCs w:val="16"/>
                <w:rtl w:val="0"/>
              </w:rPr>
              <w:t xml:space="preserve">sur le périmètre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spacing w:after="20" w:before="0" w:lineRule="auto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color w:val="555555"/>
                <w:sz w:val="16"/>
                <w:szCs w:val="16"/>
                <w:rtl w:val="0"/>
              </w:rPr>
              <w:t xml:space="preserve">france entière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bf5fb" w:val="clear"/>
            <w:tcMar>
              <w:top w:w="120.0" w:type="dxa"/>
              <w:left w:w="120.0" w:type="dxa"/>
              <w:bottom w:w="120.0" w:type="dxa"/>
              <w:right w:w="120.0" w:type="dxa"/>
            </w:tcMar>
          </w:tcPr>
          <w:p w:rsidR="00000000" w:rsidDel="00000000" w:rsidP="00000000" w:rsidRDefault="00000000" w:rsidRPr="00000000" w14:paraId="00000012">
            <w:pPr>
              <w:spacing w:after="30" w:before="0" w:lineRule="auto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1a5276"/>
                <w:sz w:val="40"/>
                <w:szCs w:val="40"/>
                <w:rtl w:val="0"/>
              </w:rPr>
              <w:t xml:space="preserve">12M€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spacing w:after="20" w:before="0" w:lineRule="auto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color w:val="555555"/>
                <w:sz w:val="16"/>
                <w:szCs w:val="16"/>
                <w:rtl w:val="0"/>
              </w:rPr>
              <w:t xml:space="preserve">de CA annuel géré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spacing w:after="20" w:before="0" w:lineRule="auto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color w:val="555555"/>
                <w:sz w:val="16"/>
                <w:szCs w:val="16"/>
                <w:rtl w:val="0"/>
              </w:rPr>
              <w:t xml:space="preserve">en tant que Dir.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spacing w:after="20" w:before="0" w:lineRule="auto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color w:val="555555"/>
                <w:sz w:val="16"/>
                <w:szCs w:val="16"/>
                <w:rtl w:val="0"/>
              </w:rPr>
              <w:t xml:space="preserve">Commercial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bf5fb" w:val="clear"/>
            <w:tcMar>
              <w:top w:w="120.0" w:type="dxa"/>
              <w:left w:w="120.0" w:type="dxa"/>
              <w:bottom w:w="120.0" w:type="dxa"/>
              <w:right w:w="120.0" w:type="dxa"/>
            </w:tcMar>
          </w:tcPr>
          <w:p w:rsidR="00000000" w:rsidDel="00000000" w:rsidP="00000000" w:rsidRDefault="00000000" w:rsidRPr="00000000" w14:paraId="00000016">
            <w:pPr>
              <w:spacing w:after="30" w:before="0" w:lineRule="auto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1a5276"/>
                <w:sz w:val="40"/>
                <w:szCs w:val="40"/>
                <w:rtl w:val="0"/>
              </w:rPr>
              <w:t xml:space="preserve">92%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spacing w:after="20" w:before="0" w:lineRule="auto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color w:val="555555"/>
                <w:sz w:val="16"/>
                <w:szCs w:val="16"/>
                <w:rtl w:val="0"/>
              </w:rPr>
              <w:t xml:space="preserve">de taux de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spacing w:after="20" w:before="0" w:lineRule="auto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color w:val="555555"/>
                <w:sz w:val="16"/>
                <w:szCs w:val="16"/>
                <w:rtl w:val="0"/>
              </w:rPr>
              <w:t xml:space="preserve">fidélisation clients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spacing w:after="20" w:before="0" w:lineRule="auto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color w:val="555555"/>
                <w:sz w:val="16"/>
                <w:szCs w:val="16"/>
                <w:rtl w:val="0"/>
              </w:rPr>
              <w:t xml:space="preserve">sur 5 ans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A">
      <w:pPr>
        <w:spacing w:after="60" w:before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after="60" w:before="22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a5276"/>
          <w:sz w:val="22"/>
          <w:szCs w:val="22"/>
          <w:rtl w:val="0"/>
        </w:rPr>
        <w:t xml:space="preserve">EXPÉRIENCES PROFESSIONNELLES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pBdr>
          <w:bottom w:color="1a5276" w:space="1" w:sz="5" w:val="single"/>
        </w:pBdr>
        <w:spacing w:after="120" w:before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after="40" w:before="13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b2631"/>
          <w:sz w:val="22"/>
          <w:szCs w:val="22"/>
          <w:rtl w:val="0"/>
        </w:rPr>
        <w:t xml:space="preserve">Directeur Commercial France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after="60" w:before="0" w:lineRule="auto"/>
        <w:rPr/>
      </w:pPr>
      <w:r w:rsidDel="00000000" w:rsidR="00000000" w:rsidRPr="00000000">
        <w:rPr>
          <w:rFonts w:ascii="Arial" w:cs="Arial" w:eastAsia="Arial" w:hAnsi="Arial"/>
          <w:color w:val="555555"/>
          <w:sz w:val="19"/>
          <w:szCs w:val="19"/>
          <w:rtl w:val="0"/>
        </w:rPr>
        <w:t xml:space="preserve">Groupe Technimétal (industrie, 800 pers.)  —  </w:t>
      </w:r>
      <w:r w:rsidDel="00000000" w:rsidR="00000000" w:rsidRPr="00000000">
        <w:rPr>
          <w:rFonts w:ascii="Arial" w:cs="Arial" w:eastAsia="Arial" w:hAnsi="Arial"/>
          <w:i w:val="1"/>
          <w:iCs w:val="1"/>
          <w:color w:val="888888"/>
          <w:sz w:val="18"/>
          <w:szCs w:val="18"/>
          <w:rtl w:val="0"/>
        </w:rPr>
        <w:t xml:space="preserve">Mars 2018 – Décembre 2024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55" w:before="0" w:line="240" w:lineRule="auto"/>
        <w:ind w:left="400" w:right="0" w:hanging="20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33333"/>
          <w:sz w:val="19"/>
          <w:szCs w:val="19"/>
          <w:u w:val="none"/>
          <w:shd w:fill="auto" w:val="clear"/>
          <w:vertAlign w:val="baseline"/>
          <w:rtl w:val="0"/>
        </w:rPr>
        <w:t xml:space="preserve">Direction d'une équipe de 12 commerciaux terrain et sédentaires (objectifs, formation, recrutement)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55" w:before="0" w:line="240" w:lineRule="auto"/>
        <w:ind w:left="400" w:right="0" w:hanging="20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33333"/>
          <w:sz w:val="19"/>
          <w:szCs w:val="19"/>
          <w:u w:val="none"/>
          <w:shd w:fill="auto" w:val="clear"/>
          <w:vertAlign w:val="baseline"/>
          <w:rtl w:val="0"/>
        </w:rPr>
        <w:t xml:space="preserve">Gestion d'un portefeuille de 80 comptes clients grands comptes (collectivités, ETI industrielles)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55" w:before="0" w:line="240" w:lineRule="auto"/>
        <w:ind w:left="400" w:right="0" w:hanging="20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33333"/>
          <w:sz w:val="19"/>
          <w:szCs w:val="19"/>
          <w:u w:val="none"/>
          <w:shd w:fill="auto" w:val="clear"/>
          <w:vertAlign w:val="baseline"/>
          <w:rtl w:val="0"/>
        </w:rPr>
        <w:t xml:space="preserve">Déploiement d'une stratégie Account Based Marketing — +38% de CA en 3 ans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55" w:before="0" w:line="240" w:lineRule="auto"/>
        <w:ind w:left="400" w:right="0" w:hanging="20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33333"/>
          <w:sz w:val="19"/>
          <w:szCs w:val="19"/>
          <w:u w:val="none"/>
          <w:shd w:fill="auto" w:val="clear"/>
          <w:vertAlign w:val="baseline"/>
          <w:rtl w:val="0"/>
        </w:rPr>
        <w:t xml:space="preserve">Négociation et signature de contrats cadre multi-annuels (valeur unitaire 200k€ à 1,5M€)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55" w:before="0" w:line="240" w:lineRule="auto"/>
        <w:ind w:left="400" w:right="0" w:hanging="20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33333"/>
          <w:sz w:val="19"/>
          <w:szCs w:val="19"/>
          <w:u w:val="none"/>
          <w:shd w:fill="auto" w:val="clear"/>
          <w:vertAlign w:val="baseline"/>
          <w:rtl w:val="0"/>
        </w:rPr>
        <w:t xml:space="preserve">Implémentation et adoption du CRM Salesforce — 100% équipe active en 4 mois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55" w:before="0" w:line="240" w:lineRule="auto"/>
        <w:ind w:left="400" w:right="0" w:hanging="20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33333"/>
          <w:sz w:val="19"/>
          <w:szCs w:val="19"/>
          <w:u w:val="none"/>
          <w:shd w:fill="auto" w:val="clear"/>
          <w:vertAlign w:val="baseline"/>
          <w:rtl w:val="0"/>
        </w:rPr>
        <w:t xml:space="preserve">Départ suite à plan de restructuration (suppression du poste de Directeur Commercial France)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after="40" w:before="13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b2631"/>
          <w:sz w:val="22"/>
          <w:szCs w:val="22"/>
          <w:rtl w:val="0"/>
        </w:rPr>
        <w:t xml:space="preserve">Responsable Comptes Clés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after="60" w:before="0" w:lineRule="auto"/>
        <w:rPr/>
      </w:pPr>
      <w:r w:rsidDel="00000000" w:rsidR="00000000" w:rsidRPr="00000000">
        <w:rPr>
          <w:rFonts w:ascii="Arial" w:cs="Arial" w:eastAsia="Arial" w:hAnsi="Arial"/>
          <w:color w:val="555555"/>
          <w:sz w:val="19"/>
          <w:szCs w:val="19"/>
          <w:rtl w:val="0"/>
        </w:rPr>
        <w:t xml:space="preserve">Dataserv Solutions (SaaS B2B)  —  </w:t>
      </w:r>
      <w:r w:rsidDel="00000000" w:rsidR="00000000" w:rsidRPr="00000000">
        <w:rPr>
          <w:rFonts w:ascii="Arial" w:cs="Arial" w:eastAsia="Arial" w:hAnsi="Arial"/>
          <w:i w:val="1"/>
          <w:iCs w:val="1"/>
          <w:color w:val="888888"/>
          <w:sz w:val="18"/>
          <w:szCs w:val="18"/>
          <w:rtl w:val="0"/>
        </w:rPr>
        <w:t xml:space="preserve">Septembre 2014 – Février 2018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55" w:before="0" w:line="240" w:lineRule="auto"/>
        <w:ind w:left="400" w:right="0" w:hanging="20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33333"/>
          <w:sz w:val="19"/>
          <w:szCs w:val="19"/>
          <w:u w:val="none"/>
          <w:shd w:fill="auto" w:val="clear"/>
          <w:vertAlign w:val="baseline"/>
          <w:rtl w:val="0"/>
        </w:rPr>
        <w:t xml:space="preserve">Développement d'un portefeuille de 25 comptes nationaux (CA géré : 4,2M€)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55" w:before="0" w:line="240" w:lineRule="auto"/>
        <w:ind w:left="400" w:right="0" w:hanging="20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33333"/>
          <w:sz w:val="19"/>
          <w:szCs w:val="19"/>
          <w:u w:val="none"/>
          <w:shd w:fill="auto" w:val="clear"/>
          <w:vertAlign w:val="baseline"/>
          <w:rtl w:val="0"/>
        </w:rPr>
        <w:t xml:space="preserve">Taux de renouvellement des contrats annuels : 94%  — au-dessus de l'objectif de 85%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55" w:before="0" w:line="240" w:lineRule="auto"/>
        <w:ind w:left="400" w:right="0" w:hanging="20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33333"/>
          <w:sz w:val="19"/>
          <w:szCs w:val="19"/>
          <w:u w:val="none"/>
          <w:shd w:fill="auto" w:val="clear"/>
          <w:vertAlign w:val="baseline"/>
          <w:rtl w:val="0"/>
        </w:rPr>
        <w:t xml:space="preserve">Coordination avec les équipes produit et delivery pour les projets clients stratégiques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after="40" w:before="13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b2631"/>
          <w:sz w:val="22"/>
          <w:szCs w:val="22"/>
          <w:rtl w:val="0"/>
        </w:rPr>
        <w:t xml:space="preserve">Ingénieur Commercial Senior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after="60" w:before="0" w:lineRule="auto"/>
        <w:rPr/>
      </w:pPr>
      <w:r w:rsidDel="00000000" w:rsidR="00000000" w:rsidRPr="00000000">
        <w:rPr>
          <w:rFonts w:ascii="Arial" w:cs="Arial" w:eastAsia="Arial" w:hAnsi="Arial"/>
          <w:color w:val="555555"/>
          <w:sz w:val="19"/>
          <w:szCs w:val="19"/>
          <w:rtl w:val="0"/>
        </w:rPr>
        <w:t xml:space="preserve">Atos SE — Division Infrastructure  —  </w:t>
      </w:r>
      <w:r w:rsidDel="00000000" w:rsidR="00000000" w:rsidRPr="00000000">
        <w:rPr>
          <w:rFonts w:ascii="Arial" w:cs="Arial" w:eastAsia="Arial" w:hAnsi="Arial"/>
          <w:i w:val="1"/>
          <w:iCs w:val="1"/>
          <w:color w:val="888888"/>
          <w:sz w:val="18"/>
          <w:szCs w:val="18"/>
          <w:rtl w:val="0"/>
        </w:rPr>
        <w:t xml:space="preserve">Juillet 2010 – Août 2014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55" w:before="0" w:line="240" w:lineRule="auto"/>
        <w:ind w:left="400" w:right="0" w:hanging="20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33333"/>
          <w:sz w:val="19"/>
          <w:szCs w:val="19"/>
          <w:u w:val="none"/>
          <w:shd w:fill="auto" w:val="clear"/>
          <w:vertAlign w:val="baseline"/>
          <w:rtl w:val="0"/>
        </w:rPr>
        <w:t xml:space="preserve">Prospection et développement de comptes dans le secteur bancaire et assurance (Île-de-France)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55" w:before="0" w:line="240" w:lineRule="auto"/>
        <w:ind w:left="400" w:right="0" w:hanging="20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33333"/>
          <w:sz w:val="19"/>
          <w:szCs w:val="19"/>
          <w:u w:val="none"/>
          <w:shd w:fill="auto" w:val="clear"/>
          <w:vertAlign w:val="baseline"/>
          <w:rtl w:val="0"/>
        </w:rPr>
        <w:t xml:space="preserve">Réalisation de réponses à appels d'offres complexes (lots techniques + commerciaux)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after="60" w:before="22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a5276"/>
          <w:sz w:val="22"/>
          <w:szCs w:val="22"/>
          <w:rtl w:val="0"/>
        </w:rPr>
        <w:t xml:space="preserve">FORMATION &amp; CERTIFICATIONS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pBdr>
          <w:bottom w:color="1a5276" w:space="1" w:sz="5" w:val="single"/>
        </w:pBdr>
        <w:spacing w:after="120" w:before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after="40" w:before="12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21"/>
          <w:szCs w:val="21"/>
          <w:rtl w:val="0"/>
        </w:rPr>
        <w:t xml:space="preserve">MBA Management Stratégique &amp; Commercial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after="160" w:before="0" w:lineRule="auto"/>
        <w:rPr/>
      </w:pPr>
      <w:r w:rsidDel="00000000" w:rsidR="00000000" w:rsidRPr="00000000">
        <w:rPr>
          <w:rFonts w:ascii="Arial" w:cs="Arial" w:eastAsia="Arial" w:hAnsi="Arial"/>
          <w:color w:val="666666"/>
          <w:sz w:val="19"/>
          <w:szCs w:val="19"/>
          <w:rtl w:val="0"/>
        </w:rPr>
        <w:t xml:space="preserve">ESSEC Business School  ·  2008 – 2010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after="40" w:before="60" w:lineRule="auto"/>
        <w:rPr/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Licence Mathématiques Appliquées — Université Paris XI  ·  2005 – 2008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pacing w:after="60" w:before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after="40" w:before="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a5276"/>
          <w:sz w:val="19"/>
          <w:szCs w:val="19"/>
          <w:rtl w:val="0"/>
        </w:rPr>
        <w:t xml:space="preserve">Certifications : </w:t>
      </w:r>
      <w:r w:rsidDel="00000000" w:rsidR="00000000" w:rsidRPr="00000000">
        <w:rPr>
          <w:rFonts w:ascii="Arial" w:cs="Arial" w:eastAsia="Arial" w:hAnsi="Arial"/>
          <w:sz w:val="19"/>
          <w:szCs w:val="19"/>
          <w:rtl w:val="0"/>
        </w:rPr>
        <w:t xml:space="preserve">Salesforce Certified Sales Cloud Consultant (2022)  ·  Certification Manager Coach (2020)  ·  TOEIC 945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spacing w:after="60" w:before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spacing w:after="60" w:before="22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a5276"/>
          <w:sz w:val="22"/>
          <w:szCs w:val="22"/>
          <w:rtl w:val="0"/>
        </w:rPr>
        <w:t xml:space="preserve">COMPÉTENCES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pBdr>
          <w:bottom w:color="1a5276" w:space="1" w:sz="5" w:val="single"/>
        </w:pBdr>
        <w:spacing w:after="120" w:before="0" w:lineRule="auto"/>
        <w:rPr/>
      </w:pPr>
      <w:r w:rsidDel="00000000" w:rsidR="00000000" w:rsidRPr="00000000">
        <w:rPr>
          <w:rtl w:val="0"/>
        </w:rPr>
      </w:r>
    </w:p>
    <w:tbl>
      <w:tblPr>
        <w:tblStyle w:val="Table3"/>
        <w:tblW w:w="10206.000000000002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213"/>
        <w:gridCol w:w="3781"/>
        <w:gridCol w:w="3212"/>
        <w:tblGridChange w:id="0">
          <w:tblGrid>
            <w:gridCol w:w="3213"/>
            <w:gridCol w:w="3781"/>
            <w:gridCol w:w="3212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60.0" w:type="dxa"/>
              <w:left w:w="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38">
            <w:pPr>
              <w:spacing w:after="30" w:before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1a5276"/>
                <w:sz w:val="18"/>
                <w:szCs w:val="18"/>
                <w:rtl w:val="0"/>
              </w:rPr>
              <w:t xml:space="preserve">Commercial 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9">
            <w:pPr>
              <w:spacing w:after="30" w:before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Négociation complexe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spacing w:after="30" w:before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Key Account Management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spacing w:after="30" w:before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Prévisions de ventes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C">
            <w:pPr>
              <w:spacing w:after="30" w:before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Appels d'offres B2B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60.0" w:type="dxa"/>
              <w:left w:w="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3D">
            <w:pPr>
              <w:spacing w:after="30" w:before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1a5276"/>
                <w:sz w:val="18"/>
                <w:szCs w:val="18"/>
                <w:rtl w:val="0"/>
              </w:rPr>
              <w:t xml:space="preserve">Management 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E">
            <w:pPr>
              <w:spacing w:after="30" w:before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Animation d'équipes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F">
            <w:pPr>
              <w:spacing w:after="30" w:before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Fixation d'objectifs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spacing w:after="30" w:before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Coaching &amp; Recrutement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spacing w:after="30" w:before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Gestion des performances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60.0" w:type="dxa"/>
              <w:left w:w="0.0" w:type="dxa"/>
              <w:bottom w:w="60.0" w:type="dxa"/>
              <w:right w:w="80.0" w:type="dxa"/>
            </w:tcMar>
          </w:tcPr>
          <w:p w:rsidR="00000000" w:rsidDel="00000000" w:rsidP="00000000" w:rsidRDefault="00000000" w:rsidRPr="00000000" w14:paraId="00000042">
            <w:pPr>
              <w:spacing w:after="30" w:before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1a5276"/>
                <w:sz w:val="18"/>
                <w:szCs w:val="18"/>
                <w:rtl w:val="0"/>
              </w:rPr>
              <w:t xml:space="preserve">Outils 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3">
            <w:pPr>
              <w:spacing w:after="30" w:before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Salesforce CRM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4">
            <w:pPr>
              <w:spacing w:after="30" w:before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HubSpot, Pipedrive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spacing w:after="30" w:before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Power BI, Tableau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spacing w:after="30" w:before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Pack Office Expert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850.3937007874016" w:top="566.9291338582677" w:left="850.3937007874016" w:right="850.3937007874016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-"/>
      <w:lvlJc w:val="left"/>
      <w:pPr>
        <w:ind w:left="400" w:hanging="200"/>
      </w:pPr>
      <w:rPr/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2e74b5"/>
      <w:sz w:val="32"/>
      <w:szCs w:val="32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2e74b5"/>
      <w:sz w:val="26"/>
      <w:szCs w:val="2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1f4d78"/>
      <w:sz w:val="24"/>
      <w:szCs w:val="24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1"/>
      <w:iCs w:val="1"/>
      <w:smallCaps w:val="0"/>
      <w:strike w:val="0"/>
      <w:color w:val="2e74b5"/>
      <w:sz w:val="20"/>
      <w:szCs w:val="20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2e74b5"/>
      <w:sz w:val="20"/>
      <w:szCs w:val="20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1f4d78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000000"/>
      <w:sz w:val="56"/>
      <w:szCs w:val="56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