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e6655" w:val="clear"/>
            <w:tcMar>
              <w:top w:w="260.0" w:type="dxa"/>
              <w:left w:w="300.0" w:type="dxa"/>
              <w:bottom w:w="260.0" w:type="dxa"/>
              <w:right w:w="300.0" w:type="dxa"/>
            </w:tcM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6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0"/>
              <w:gridCol w:w="7946"/>
              <w:tblGridChange w:id="0">
                <w:tblGrid>
                  <w:gridCol w:w="1660"/>
                  <w:gridCol w:w="7946"/>
                </w:tblGrid>
              </w:tblGridChange>
            </w:tblGrid>
            <w:tr>
              <w:trPr>
                <w:cantSplit w:val="0"/>
                <w:tblHeader w:val="0"/>
              </w:trPr>
              <w:tc>
                <w:tcPr>
                  <w:tcMar>
                    <w:top w:w="30.0" w:type="dxa"/>
                    <w:left w:w="30.0" w:type="dxa"/>
                    <w:bottom w:w="30.0" w:type="dxa"/>
                    <w:right w:w="30.0" w:type="dxa"/>
                  </w:tcMar>
                </w:tcPr>
                <w:p w:rsidR="00000000" w:rsidDel="00000000" w:rsidP="00000000" w:rsidRDefault="00000000" w:rsidRPr="00000000" w14:paraId="00000003">
                  <w:pPr>
                    <w:jc w:val="center"/>
                    <w:rPr/>
                  </w:pPr>
                  <w:r w:rsidDel="00000000" w:rsidR="00000000" w:rsidRPr="00000000">
                    <w:rPr/>
                    <w:drawing>
                      <wp:inline distB="0" distT="0" distL="0" distR="0">
                        <wp:extent cx="838200" cy="10001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8200" cy="1000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20.0" w:type="dxa"/>
                    <w:bottom w:w="20.0" w:type="dxa"/>
                    <w:right w:w="0.0" w:type="dxa"/>
                  </w:tcMar>
                </w:tcPr>
                <w:p w:rsidR="00000000" w:rsidDel="00000000" w:rsidP="00000000" w:rsidRDefault="00000000" w:rsidRPr="00000000" w14:paraId="00000004">
                  <w:pPr>
                    <w:spacing w:after="20" w:before="0" w:lineRule="auto"/>
                    <w:rPr/>
                  </w:pPr>
                  <w:r w:rsidDel="00000000" w:rsidR="00000000" w:rsidRPr="00000000">
                    <w:rPr>
                      <w:rFonts w:ascii="Arial" w:cs="Arial" w:eastAsia="Arial" w:hAnsi="Arial"/>
                      <w:b w:val="1"/>
                      <w:bCs w:val="1"/>
                      <w:color w:val="ffffff"/>
                      <w:sz w:val="44"/>
                      <w:szCs w:val="44"/>
                      <w:rtl w:val="0"/>
                    </w:rPr>
                    <w:t xml:space="preserve">NATHALIE GIRARD</w:t>
                  </w:r>
                  <w:r w:rsidDel="00000000" w:rsidR="00000000" w:rsidRPr="00000000">
                    <w:rPr>
                      <w:rtl w:val="0"/>
                    </w:rPr>
                  </w:r>
                </w:p>
                <w:p w:rsidR="00000000" w:rsidDel="00000000" w:rsidP="00000000" w:rsidRDefault="00000000" w:rsidRPr="00000000" w14:paraId="00000005">
                  <w:pPr>
                    <w:spacing w:after="40" w:before="0" w:lineRule="auto"/>
                    <w:rPr/>
                  </w:pPr>
                  <w:r w:rsidDel="00000000" w:rsidR="00000000" w:rsidRPr="00000000">
                    <w:rPr>
                      <w:rFonts w:ascii="Arial" w:cs="Arial" w:eastAsia="Arial" w:hAnsi="Arial"/>
                      <w:color w:val="a9dfbf"/>
                      <w:sz w:val="21"/>
                      <w:szCs w:val="21"/>
                      <w:rtl w:val="0"/>
                    </w:rPr>
                    <w:t xml:space="preserve">Responsable Qualité / HSE — 12 ans d'expérience</w:t>
                  </w:r>
                  <w:r w:rsidDel="00000000" w:rsidR="00000000" w:rsidRPr="00000000">
                    <w:rPr>
                      <w:rtl w:val="0"/>
                    </w:rPr>
                  </w:r>
                </w:p>
                <w:p w:rsidR="00000000" w:rsidDel="00000000" w:rsidP="00000000" w:rsidRDefault="00000000" w:rsidRPr="00000000" w14:paraId="00000006">
                  <w:pPr>
                    <w:spacing w:after="30" w:before="0" w:lineRule="auto"/>
                    <w:rPr/>
                  </w:pPr>
                  <w:r w:rsidDel="00000000" w:rsidR="00000000" w:rsidRPr="00000000">
                    <w:rPr>
                      <w:rFonts w:ascii="Arial" w:cs="Arial" w:eastAsia="Arial" w:hAnsi="Arial"/>
                      <w:color w:val="cccccc"/>
                      <w:sz w:val="18"/>
                      <w:szCs w:val="18"/>
                      <w:rtl w:val="0"/>
                    </w:rPr>
                    <w:t xml:space="preserve">nathalie.girard@email.com   |   +33 6 67 78 89 90</w:t>
                  </w:r>
                  <w:r w:rsidDel="00000000" w:rsidR="00000000" w:rsidRPr="00000000">
                    <w:rPr>
                      <w:rtl w:val="0"/>
                    </w:rPr>
                  </w:r>
                </w:p>
                <w:p w:rsidR="00000000" w:rsidDel="00000000" w:rsidP="00000000" w:rsidRDefault="00000000" w:rsidRPr="00000000" w14:paraId="00000007">
                  <w:pPr>
                    <w:spacing w:after="20" w:before="0" w:lineRule="auto"/>
                    <w:rPr/>
                  </w:pPr>
                  <w:r w:rsidDel="00000000" w:rsidR="00000000" w:rsidRPr="00000000">
                    <w:rPr>
                      <w:rFonts w:ascii="Arial" w:cs="Arial" w:eastAsia="Arial" w:hAnsi="Arial"/>
                      <w:color w:val="cccccc"/>
                      <w:sz w:val="18"/>
                      <w:szCs w:val="18"/>
                      <w:rtl w:val="0"/>
                    </w:rPr>
                    <w:t xml:space="preserve">Grenoble, France — Mobilité région AURA</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Fonts w:ascii="Arial" w:cs="Arial" w:eastAsia="Arial" w:hAnsi="Arial"/>
                      <w:b w:val="1"/>
                      <w:bCs w:val="1"/>
                      <w:color w:val="a9dfbf"/>
                      <w:sz w:val="18"/>
                      <w:szCs w:val="18"/>
                      <w:rtl w:val="0"/>
                    </w:rPr>
                    <w:t xml:space="preserve">En recherche active — Disponible immédiatement</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tc>
      </w:tr>
    </w:tbl>
    <w:p w:rsidR="00000000" w:rsidDel="00000000" w:rsidP="00000000" w:rsidRDefault="00000000" w:rsidRPr="00000000" w14:paraId="0000000A">
      <w:pPr>
        <w:spacing w:after="60" w:before="0" w:lineRule="auto"/>
        <w:rPr/>
      </w:pPr>
      <w:r w:rsidDel="00000000" w:rsidR="00000000" w:rsidRPr="00000000">
        <w:rPr>
          <w:rtl w:val="0"/>
        </w:rPr>
      </w:r>
    </w:p>
    <w:tbl>
      <w:tblPr>
        <w:tblStyle w:val="Table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5f5e3" w:val="clear"/>
            <w:tcMar>
              <w:top w:w="80.0" w:type="dxa"/>
              <w:left w:w="200.0" w:type="dxa"/>
              <w:bottom w:w="80.0" w:type="dxa"/>
              <w:right w:w="20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117a65"/>
                <w:sz w:val="21"/>
                <w:szCs w:val="21"/>
                <w:rtl w:val="0"/>
              </w:rPr>
              <w:t xml:space="preserve">PROFIL PROFESSIONNEL</w:t>
            </w:r>
            <w:r w:rsidDel="00000000" w:rsidR="00000000" w:rsidRPr="00000000">
              <w:rPr>
                <w:rtl w:val="0"/>
              </w:rPr>
            </w:r>
          </w:p>
        </w:tc>
      </w:tr>
    </w:tbl>
    <w:p w:rsidR="00000000" w:rsidDel="00000000" w:rsidP="00000000" w:rsidRDefault="00000000" w:rsidRPr="00000000" w14:paraId="0000000C">
      <w:pPr>
        <w:spacing w:after="60" w:before="0" w:lineRule="auto"/>
        <w:rPr/>
      </w:pPr>
      <w:r w:rsidDel="00000000" w:rsidR="00000000" w:rsidRPr="00000000">
        <w:rPr>
          <w:rtl w:val="0"/>
        </w:rPr>
      </w:r>
    </w:p>
    <w:p w:rsidR="00000000" w:rsidDel="00000000" w:rsidP="00000000" w:rsidRDefault="00000000" w:rsidRPr="00000000" w14:paraId="0000000D">
      <w:pPr>
        <w:spacing w:after="120" w:before="0" w:lineRule="auto"/>
        <w:rPr/>
      </w:pPr>
      <w:r w:rsidDel="00000000" w:rsidR="00000000" w:rsidRPr="00000000">
        <w:rPr>
          <w:rFonts w:ascii="Arial" w:cs="Arial" w:eastAsia="Arial" w:hAnsi="Arial"/>
          <w:sz w:val="20"/>
          <w:szCs w:val="20"/>
          <w:rtl w:val="0"/>
        </w:rPr>
        <w:t xml:space="preserve">Responsable Qualité / HSE avec 12 ans d'expérience dans les secteurs pharmaceutique et agroalimentaire. Expertise dans l'implémentation et le maintien de systèmes de management de la qualité (ISO 9001, ISO 22000, BPF), l'animation de démarches d'amélioration continue (Lean, 5S, 8D) et la gestion des risques HSE. Recherche un poste de Responsable QSE ou Coordinatrice Qualité suite à fermeture de site.</w:t>
      </w:r>
      <w:r w:rsidDel="00000000" w:rsidR="00000000" w:rsidRPr="00000000">
        <w:rPr>
          <w:rtl w:val="0"/>
        </w:rPr>
      </w:r>
    </w:p>
    <w:tbl>
      <w:tblPr>
        <w:tblStyle w:val="Table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5f5e3" w:val="clear"/>
            <w:tcMar>
              <w:top w:w="80.0" w:type="dxa"/>
              <w:left w:w="200.0" w:type="dxa"/>
              <w:bottom w:w="80.0" w:type="dxa"/>
              <w:right w:w="200.0" w:type="dxa"/>
            </w:tcMar>
          </w:tcPr>
          <w:p w:rsidR="00000000" w:rsidDel="00000000" w:rsidP="00000000" w:rsidRDefault="00000000" w:rsidRPr="00000000" w14:paraId="0000000E">
            <w:pPr>
              <w:rPr/>
            </w:pPr>
            <w:r w:rsidDel="00000000" w:rsidR="00000000" w:rsidRPr="00000000">
              <w:rPr>
                <w:rFonts w:ascii="Arial" w:cs="Arial" w:eastAsia="Arial" w:hAnsi="Arial"/>
                <w:b w:val="1"/>
                <w:bCs w:val="1"/>
                <w:color w:val="117a65"/>
                <w:sz w:val="21"/>
                <w:szCs w:val="21"/>
                <w:rtl w:val="0"/>
              </w:rPr>
              <w:t xml:space="preserve">EXPÉRIENCES PROFESSIONNELLES</w:t>
            </w:r>
            <w:r w:rsidDel="00000000" w:rsidR="00000000" w:rsidRPr="00000000">
              <w:rPr>
                <w:rtl w:val="0"/>
              </w:rPr>
            </w:r>
          </w:p>
        </w:tc>
      </w:tr>
    </w:tbl>
    <w:p w:rsidR="00000000" w:rsidDel="00000000" w:rsidP="00000000" w:rsidRDefault="00000000" w:rsidRPr="00000000" w14:paraId="0000000F">
      <w:pPr>
        <w:spacing w:after="60" w:before="0" w:lineRule="auto"/>
        <w:rPr/>
      </w:pPr>
      <w:r w:rsidDel="00000000" w:rsidR="00000000" w:rsidRPr="00000000">
        <w:rPr>
          <w:rtl w:val="0"/>
        </w:rPr>
      </w:r>
    </w:p>
    <w:tbl>
      <w:tblPr>
        <w:tblStyle w:val="Table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117a65" w:space="0" w:sz="12" w:val="single"/>
              <w:bottom w:color="000000" w:space="0" w:sz="0" w:val="nil"/>
              <w:right w:color="000000" w:space="0" w:sz="0" w:val="nil"/>
            </w:tcBorders>
            <w:tcMar>
              <w:top w:w="80.0" w:type="dxa"/>
              <w:left w:w="180.0" w:type="dxa"/>
              <w:bottom w:w="80.0" w:type="dxa"/>
              <w:right w:w="0.0" w:type="dxa"/>
            </w:tcMar>
          </w:tcPr>
          <w:p w:rsidR="00000000" w:rsidDel="00000000" w:rsidP="00000000" w:rsidRDefault="00000000" w:rsidRPr="00000000" w14:paraId="00000010">
            <w:pPr>
              <w:spacing w:after="25" w:before="0" w:lineRule="auto"/>
              <w:rPr/>
            </w:pPr>
            <w:r w:rsidDel="00000000" w:rsidR="00000000" w:rsidRPr="00000000">
              <w:rPr>
                <w:rFonts w:ascii="Arial" w:cs="Arial" w:eastAsia="Arial" w:hAnsi="Arial"/>
                <w:b w:val="1"/>
                <w:bCs w:val="1"/>
                <w:sz w:val="22"/>
                <w:szCs w:val="22"/>
                <w:rtl w:val="0"/>
              </w:rPr>
              <w:t xml:space="preserve">Responsable Qualité &amp; HSE</w:t>
            </w:r>
            <w:r w:rsidDel="00000000" w:rsidR="00000000" w:rsidRPr="00000000">
              <w:rPr>
                <w:rFonts w:ascii="Arial" w:cs="Arial" w:eastAsia="Arial" w:hAnsi="Arial"/>
                <w:color w:val="555555"/>
                <w:sz w:val="19"/>
                <w:szCs w:val="19"/>
                <w:rtl w:val="0"/>
              </w:rPr>
              <w:t xml:space="preserve">   ·   Laboratoires Théa, Grenoble (pharmaceutique, 350 pers.)</w:t>
            </w:r>
            <w:r w:rsidDel="00000000" w:rsidR="00000000" w:rsidRPr="00000000">
              <w:rPr>
                <w:rtl w:val="0"/>
              </w:rPr>
            </w:r>
          </w:p>
          <w:p w:rsidR="00000000" w:rsidDel="00000000" w:rsidP="00000000" w:rsidRDefault="00000000" w:rsidRPr="00000000" w14:paraId="00000011">
            <w:pPr>
              <w:spacing w:after="80" w:before="0" w:lineRule="auto"/>
              <w:rPr/>
            </w:pPr>
            <w:r w:rsidDel="00000000" w:rsidR="00000000" w:rsidRPr="00000000">
              <w:rPr>
                <w:rFonts w:ascii="Arial" w:cs="Arial" w:eastAsia="Arial" w:hAnsi="Arial"/>
                <w:i w:val="1"/>
                <w:iCs w:val="1"/>
                <w:color w:val="117a65"/>
                <w:sz w:val="17"/>
                <w:szCs w:val="17"/>
                <w:rtl w:val="0"/>
              </w:rPr>
              <w:t xml:space="preserve">Juin 2019 – Octobre 2024 (fermeture de site)</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Pilotage du système de management de la qualité (ISO 9001 : 2015, BPF) — 0 non-conformité majeure sur 5 ans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Management d'une équipe de 4 techniciens qualité et 1 coordinatrice HSE</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Animation des revues de direction qualité trimestrielles et des audits internes (15 audits/an)</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Gestion de 3 audits de certification réussis dont 2 audits clients (Sanofi, Pfizer)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Déploiement d'un programme Lean Manufacturing — réduction de 22% des coûts de non-qualité</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Gestion des crises qualité et rappels de lots (procédure de rappel lancée et maîtrisée en 2022)</w:t>
            </w:r>
            <w:r w:rsidDel="00000000" w:rsidR="00000000" w:rsidRPr="00000000">
              <w:rPr>
                <w:rtl w:val="0"/>
              </w:rPr>
            </w:r>
          </w:p>
        </w:tc>
      </w:tr>
    </w:tbl>
    <w:p w:rsidR="00000000" w:rsidDel="00000000" w:rsidP="00000000" w:rsidRDefault="00000000" w:rsidRPr="00000000" w14:paraId="00000018">
      <w:pPr>
        <w:spacing w:after="100" w:before="0" w:lineRule="auto"/>
        <w:rPr/>
      </w:pPr>
      <w:r w:rsidDel="00000000" w:rsidR="00000000" w:rsidRPr="00000000">
        <w:rPr>
          <w:rtl w:val="0"/>
        </w:rPr>
      </w:r>
    </w:p>
    <w:tbl>
      <w:tblPr>
        <w:tblStyle w:val="Table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117a65" w:space="0" w:sz="12" w:val="single"/>
              <w:bottom w:color="000000" w:space="0" w:sz="0" w:val="nil"/>
              <w:right w:color="000000" w:space="0" w:sz="0" w:val="nil"/>
            </w:tcBorders>
            <w:tcMar>
              <w:top w:w="80.0" w:type="dxa"/>
              <w:left w:w="180.0" w:type="dxa"/>
              <w:bottom w:w="80.0" w:type="dxa"/>
              <w:right w:w="0.0" w:type="dxa"/>
            </w:tcMar>
          </w:tcPr>
          <w:p w:rsidR="00000000" w:rsidDel="00000000" w:rsidP="00000000" w:rsidRDefault="00000000" w:rsidRPr="00000000" w14:paraId="00000019">
            <w:pPr>
              <w:spacing w:after="25" w:before="0" w:lineRule="auto"/>
              <w:rPr/>
            </w:pPr>
            <w:r w:rsidDel="00000000" w:rsidR="00000000" w:rsidRPr="00000000">
              <w:rPr>
                <w:rFonts w:ascii="Arial" w:cs="Arial" w:eastAsia="Arial" w:hAnsi="Arial"/>
                <w:b w:val="1"/>
                <w:bCs w:val="1"/>
                <w:sz w:val="22"/>
                <w:szCs w:val="22"/>
                <w:rtl w:val="0"/>
              </w:rPr>
              <w:t xml:space="preserve">Ingénieure Qualité Senior</w:t>
            </w:r>
            <w:r w:rsidDel="00000000" w:rsidR="00000000" w:rsidRPr="00000000">
              <w:rPr>
                <w:rFonts w:ascii="Arial" w:cs="Arial" w:eastAsia="Arial" w:hAnsi="Arial"/>
                <w:color w:val="555555"/>
                <w:sz w:val="19"/>
                <w:szCs w:val="19"/>
                <w:rtl w:val="0"/>
              </w:rPr>
              <w:t xml:space="preserve">   ·   Savencia Fromage &amp; Dairy, Valence (agroalimentaire)</w:t>
            </w:r>
            <w:r w:rsidDel="00000000" w:rsidR="00000000" w:rsidRPr="00000000">
              <w:rPr>
                <w:rtl w:val="0"/>
              </w:rPr>
            </w:r>
          </w:p>
          <w:p w:rsidR="00000000" w:rsidDel="00000000" w:rsidP="00000000" w:rsidRDefault="00000000" w:rsidRPr="00000000" w14:paraId="0000001A">
            <w:pPr>
              <w:spacing w:after="80" w:before="0" w:lineRule="auto"/>
              <w:rPr/>
            </w:pPr>
            <w:r w:rsidDel="00000000" w:rsidR="00000000" w:rsidRPr="00000000">
              <w:rPr>
                <w:rFonts w:ascii="Arial" w:cs="Arial" w:eastAsia="Arial" w:hAnsi="Arial"/>
                <w:i w:val="1"/>
                <w:iCs w:val="1"/>
                <w:color w:val="117a65"/>
                <w:sz w:val="17"/>
                <w:szCs w:val="17"/>
                <w:rtl w:val="0"/>
              </w:rPr>
              <w:t xml:space="preserve">Septembre 2015 – Mai 2019</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Maintien de la certification ISO 22000 et FSSC 22000 sur un site de 180 personnes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Développement et déploiement du plan HACCP pour 3 nouvelles lignes de production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Formation des équipes de production aux bonnes pratiques d'hygiène (150 opérateurs)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Réduction du taux de réclamations clients de 1,8% à 0,4% en 18 mois</w:t>
            </w:r>
            <w:r w:rsidDel="00000000" w:rsidR="00000000" w:rsidRPr="00000000">
              <w:rPr>
                <w:rtl w:val="0"/>
              </w:rPr>
            </w:r>
          </w:p>
        </w:tc>
      </w:tr>
    </w:tbl>
    <w:p w:rsidR="00000000" w:rsidDel="00000000" w:rsidP="00000000" w:rsidRDefault="00000000" w:rsidRPr="00000000" w14:paraId="0000001F">
      <w:pPr>
        <w:spacing w:after="100" w:before="0" w:lineRule="auto"/>
        <w:rPr/>
      </w:pPr>
      <w:r w:rsidDel="00000000" w:rsidR="00000000" w:rsidRPr="00000000">
        <w:rPr>
          <w:rtl w:val="0"/>
        </w:rPr>
      </w:r>
    </w:p>
    <w:tbl>
      <w:tblPr>
        <w:tblStyle w:val="Table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117a65" w:space="0" w:sz="12" w:val="single"/>
              <w:bottom w:color="000000" w:space="0" w:sz="0" w:val="nil"/>
              <w:right w:color="000000" w:space="0" w:sz="0" w:val="nil"/>
            </w:tcBorders>
            <w:tcMar>
              <w:top w:w="80.0" w:type="dxa"/>
              <w:left w:w="180.0" w:type="dxa"/>
              <w:bottom w:w="80.0" w:type="dxa"/>
              <w:right w:w="0.0" w:type="dxa"/>
            </w:tcMar>
          </w:tcPr>
          <w:p w:rsidR="00000000" w:rsidDel="00000000" w:rsidP="00000000" w:rsidRDefault="00000000" w:rsidRPr="00000000" w14:paraId="00000020">
            <w:pPr>
              <w:spacing w:after="25" w:before="0" w:lineRule="auto"/>
              <w:rPr/>
            </w:pPr>
            <w:r w:rsidDel="00000000" w:rsidR="00000000" w:rsidRPr="00000000">
              <w:rPr>
                <w:rFonts w:ascii="Arial" w:cs="Arial" w:eastAsia="Arial" w:hAnsi="Arial"/>
                <w:b w:val="1"/>
                <w:bCs w:val="1"/>
                <w:sz w:val="22"/>
                <w:szCs w:val="22"/>
                <w:rtl w:val="0"/>
              </w:rPr>
              <w:t xml:space="preserve">Technicienne Qualité</w:t>
            </w:r>
            <w:r w:rsidDel="00000000" w:rsidR="00000000" w:rsidRPr="00000000">
              <w:rPr>
                <w:rFonts w:ascii="Arial" w:cs="Arial" w:eastAsia="Arial" w:hAnsi="Arial"/>
                <w:color w:val="555555"/>
                <w:sz w:val="19"/>
                <w:szCs w:val="19"/>
                <w:rtl w:val="0"/>
              </w:rPr>
              <w:t xml:space="preserve">   ·   Eaux Minérales de Thonon, Thonon-les-Bains</w:t>
            </w:r>
            <w:r w:rsidDel="00000000" w:rsidR="00000000" w:rsidRPr="00000000">
              <w:rPr>
                <w:rtl w:val="0"/>
              </w:rPr>
            </w:r>
          </w:p>
          <w:p w:rsidR="00000000" w:rsidDel="00000000" w:rsidP="00000000" w:rsidRDefault="00000000" w:rsidRPr="00000000" w14:paraId="00000021">
            <w:pPr>
              <w:spacing w:after="80" w:before="0" w:lineRule="auto"/>
              <w:rPr/>
            </w:pPr>
            <w:r w:rsidDel="00000000" w:rsidR="00000000" w:rsidRPr="00000000">
              <w:rPr>
                <w:rFonts w:ascii="Arial" w:cs="Arial" w:eastAsia="Arial" w:hAnsi="Arial"/>
                <w:i w:val="1"/>
                <w:iCs w:val="1"/>
                <w:color w:val="117a65"/>
                <w:sz w:val="17"/>
                <w:szCs w:val="17"/>
                <w:rtl w:val="0"/>
              </w:rPr>
              <w:t xml:space="preserve">Octobre 2012 – Août 2015</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Contrôle qualité en production, analyses physico-chimiques, gestion des non-conformités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Participation aux audits de certification ISO 9001 et IFS Food</w:t>
            </w:r>
            <w:r w:rsidDel="00000000" w:rsidR="00000000" w:rsidRPr="00000000">
              <w:rPr>
                <w:rtl w:val="0"/>
              </w:rPr>
            </w:r>
          </w:p>
        </w:tc>
      </w:tr>
    </w:tbl>
    <w:p w:rsidR="00000000" w:rsidDel="00000000" w:rsidP="00000000" w:rsidRDefault="00000000" w:rsidRPr="00000000" w14:paraId="00000024">
      <w:pPr>
        <w:spacing w:after="100" w:before="0" w:lineRule="auto"/>
        <w:rPr/>
      </w:pPr>
      <w:r w:rsidDel="00000000" w:rsidR="00000000" w:rsidRPr="00000000">
        <w:rPr>
          <w:rtl w:val="0"/>
        </w:rPr>
      </w:r>
    </w:p>
    <w:tbl>
      <w:tblPr>
        <w:tblStyle w:val="Table8"/>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5f5e3" w:val="clear"/>
            <w:tcMar>
              <w:top w:w="80.0" w:type="dxa"/>
              <w:left w:w="200.0" w:type="dxa"/>
              <w:bottom w:w="80.0" w:type="dxa"/>
              <w:right w:w="20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117a65"/>
                <w:sz w:val="21"/>
                <w:szCs w:val="21"/>
                <w:rtl w:val="0"/>
              </w:rPr>
              <w:t xml:space="preserve">FORMATION &amp; CERTIFICATIONS</w:t>
            </w:r>
            <w:r w:rsidDel="00000000" w:rsidR="00000000" w:rsidRPr="00000000">
              <w:rPr>
                <w:rtl w:val="0"/>
              </w:rPr>
            </w:r>
          </w:p>
        </w:tc>
      </w:tr>
    </w:tbl>
    <w:p w:rsidR="00000000" w:rsidDel="00000000" w:rsidP="00000000" w:rsidRDefault="00000000" w:rsidRPr="00000000" w14:paraId="00000026">
      <w:pPr>
        <w:spacing w:after="60" w:before="0" w:lineRule="auto"/>
        <w:rPr/>
      </w:pPr>
      <w:r w:rsidDel="00000000" w:rsidR="00000000" w:rsidRPr="00000000">
        <w:rPr>
          <w:rtl w:val="0"/>
        </w:rPr>
      </w:r>
    </w:p>
    <w:tbl>
      <w:tblPr>
        <w:tblStyle w:val="Table9"/>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4819"/>
        <w:tblGridChange w:id="0">
          <w:tblGrid>
            <w:gridCol w:w="5387"/>
            <w:gridCol w:w="481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27">
            <w:pPr>
              <w:spacing w:after="35" w:before="0" w:lineRule="auto"/>
              <w:rPr/>
            </w:pPr>
            <w:r w:rsidDel="00000000" w:rsidR="00000000" w:rsidRPr="00000000">
              <w:rPr>
                <w:rFonts w:ascii="Arial" w:cs="Arial" w:eastAsia="Arial" w:hAnsi="Arial"/>
                <w:b w:val="1"/>
                <w:bCs w:val="1"/>
                <w:sz w:val="20"/>
                <w:szCs w:val="20"/>
                <w:rtl w:val="0"/>
              </w:rPr>
              <w:t xml:space="preserve">Master Qualité, HSE &amp; Environnement</w:t>
            </w:r>
            <w:r w:rsidDel="00000000" w:rsidR="00000000" w:rsidRPr="00000000">
              <w:rPr>
                <w:rtl w:val="0"/>
              </w:rPr>
            </w:r>
          </w:p>
          <w:p w:rsidR="00000000" w:rsidDel="00000000" w:rsidP="00000000" w:rsidRDefault="00000000" w:rsidRPr="00000000" w14:paraId="00000028">
            <w:pPr>
              <w:spacing w:after="55" w:before="0" w:lineRule="auto"/>
              <w:rPr/>
            </w:pPr>
            <w:r w:rsidDel="00000000" w:rsidR="00000000" w:rsidRPr="00000000">
              <w:rPr>
                <w:rFonts w:ascii="Arial" w:cs="Arial" w:eastAsia="Arial" w:hAnsi="Arial"/>
                <w:color w:val="666666"/>
                <w:sz w:val="18"/>
                <w:szCs w:val="18"/>
                <w:rtl w:val="0"/>
              </w:rPr>
              <w:t xml:space="preserve">Université Grenoble Alpes  ·  2010 – 2012</w:t>
            </w:r>
            <w:r w:rsidDel="00000000" w:rsidR="00000000" w:rsidRPr="00000000">
              <w:rPr>
                <w:rtl w:val="0"/>
              </w:rPr>
            </w:r>
          </w:p>
          <w:p w:rsidR="00000000" w:rsidDel="00000000" w:rsidP="00000000" w:rsidRDefault="00000000" w:rsidRPr="00000000" w14:paraId="00000029">
            <w:pPr>
              <w:spacing w:after="35" w:before="0" w:lineRule="auto"/>
              <w:rPr/>
            </w:pPr>
            <w:r w:rsidDel="00000000" w:rsidR="00000000" w:rsidRPr="00000000">
              <w:rPr>
                <w:rFonts w:ascii="Arial" w:cs="Arial" w:eastAsia="Arial" w:hAnsi="Arial"/>
                <w:b w:val="1"/>
                <w:bCs w:val="1"/>
                <w:sz w:val="20"/>
                <w:szCs w:val="20"/>
                <w:rtl w:val="0"/>
              </w:rPr>
              <w:t xml:space="preserve">Licence Chimie Analytique</w:t>
            </w:r>
            <w:r w:rsidDel="00000000" w:rsidR="00000000" w:rsidRPr="00000000">
              <w:rPr>
                <w:rtl w:val="0"/>
              </w:rPr>
            </w:r>
          </w:p>
          <w:p w:rsidR="00000000" w:rsidDel="00000000" w:rsidP="00000000" w:rsidRDefault="00000000" w:rsidRPr="00000000" w14:paraId="0000002A">
            <w:pPr>
              <w:spacing w:after="35" w:before="0" w:lineRule="auto"/>
              <w:rPr/>
            </w:pPr>
            <w:r w:rsidDel="00000000" w:rsidR="00000000" w:rsidRPr="00000000">
              <w:rPr>
                <w:rFonts w:ascii="Arial" w:cs="Arial" w:eastAsia="Arial" w:hAnsi="Arial"/>
                <w:color w:val="666666"/>
                <w:sz w:val="18"/>
                <w:szCs w:val="18"/>
                <w:rtl w:val="0"/>
              </w:rPr>
              <w:t xml:space="preserve">Université Joseph Fourier, Grenoble  ·  2007 – 2010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2B">
            <w:pPr>
              <w:spacing w:after="30" w:before="0" w:lineRule="auto"/>
              <w:rPr/>
            </w:pPr>
            <w:r w:rsidDel="00000000" w:rsidR="00000000" w:rsidRPr="00000000">
              <w:rPr>
                <w:rFonts w:ascii="Arial" w:cs="Arial" w:eastAsia="Arial" w:hAnsi="Arial"/>
                <w:b w:val="1"/>
                <w:bCs w:val="1"/>
                <w:color w:val="117a65"/>
                <w:sz w:val="19"/>
                <w:szCs w:val="19"/>
                <w:rtl w:val="0"/>
              </w:rPr>
              <w:t xml:space="preserve">Certifications :</w:t>
            </w:r>
            <w:r w:rsidDel="00000000" w:rsidR="00000000" w:rsidRPr="00000000">
              <w:rPr>
                <w:rtl w:val="0"/>
              </w:rPr>
            </w:r>
          </w:p>
          <w:p w:rsidR="00000000" w:rsidDel="00000000" w:rsidP="00000000" w:rsidRDefault="00000000" w:rsidRPr="00000000" w14:paraId="0000002C">
            <w:pPr>
              <w:spacing w:after="30" w:before="0" w:lineRule="auto"/>
              <w:rPr/>
            </w:pPr>
            <w:r w:rsidDel="00000000" w:rsidR="00000000" w:rsidRPr="00000000">
              <w:rPr>
                <w:rFonts w:ascii="Arial" w:cs="Arial" w:eastAsia="Arial" w:hAnsi="Arial"/>
                <w:sz w:val="18"/>
                <w:szCs w:val="18"/>
                <w:rtl w:val="0"/>
              </w:rPr>
              <w:t xml:space="preserve">Auditrice interne ISO 9001 : 2015 (IRCA)</w:t>
            </w:r>
            <w:r w:rsidDel="00000000" w:rsidR="00000000" w:rsidRPr="00000000">
              <w:rPr>
                <w:rtl w:val="0"/>
              </w:rPr>
            </w:r>
          </w:p>
          <w:p w:rsidR="00000000" w:rsidDel="00000000" w:rsidP="00000000" w:rsidRDefault="00000000" w:rsidRPr="00000000" w14:paraId="0000002D">
            <w:pPr>
              <w:spacing w:after="30" w:before="0" w:lineRule="auto"/>
              <w:rPr/>
            </w:pPr>
            <w:r w:rsidDel="00000000" w:rsidR="00000000" w:rsidRPr="00000000">
              <w:rPr>
                <w:rFonts w:ascii="Arial" w:cs="Arial" w:eastAsia="Arial" w:hAnsi="Arial"/>
                <w:sz w:val="18"/>
                <w:szCs w:val="18"/>
                <w:rtl w:val="0"/>
              </w:rPr>
              <w:t xml:space="preserve">Lead Auditor ISO 22000 / FSSC 22000</w:t>
            </w:r>
            <w:r w:rsidDel="00000000" w:rsidR="00000000" w:rsidRPr="00000000">
              <w:rPr>
                <w:rtl w:val="0"/>
              </w:rPr>
            </w:r>
          </w:p>
          <w:p w:rsidR="00000000" w:rsidDel="00000000" w:rsidP="00000000" w:rsidRDefault="00000000" w:rsidRPr="00000000" w14:paraId="0000002E">
            <w:pPr>
              <w:spacing w:after="30" w:before="0" w:lineRule="auto"/>
              <w:rPr/>
            </w:pPr>
            <w:r w:rsidDel="00000000" w:rsidR="00000000" w:rsidRPr="00000000">
              <w:rPr>
                <w:rFonts w:ascii="Arial" w:cs="Arial" w:eastAsia="Arial" w:hAnsi="Arial"/>
                <w:sz w:val="18"/>
                <w:szCs w:val="18"/>
                <w:rtl w:val="0"/>
              </w:rPr>
              <w:t xml:space="preserve">Lean Six Sigma Green Belt</w:t>
            </w:r>
            <w:r w:rsidDel="00000000" w:rsidR="00000000" w:rsidRPr="00000000">
              <w:rPr>
                <w:rtl w:val="0"/>
              </w:rPr>
            </w:r>
          </w:p>
          <w:p w:rsidR="00000000" w:rsidDel="00000000" w:rsidP="00000000" w:rsidRDefault="00000000" w:rsidRPr="00000000" w14:paraId="0000002F">
            <w:pPr>
              <w:spacing w:after="30" w:before="0" w:lineRule="auto"/>
              <w:rPr/>
            </w:pPr>
            <w:r w:rsidDel="00000000" w:rsidR="00000000" w:rsidRPr="00000000">
              <w:rPr>
                <w:rFonts w:ascii="Arial" w:cs="Arial" w:eastAsia="Arial" w:hAnsi="Arial"/>
                <w:sz w:val="18"/>
                <w:szCs w:val="18"/>
                <w:rtl w:val="0"/>
              </w:rPr>
              <w:t xml:space="preserve">Risques chimiques niveau 2 (INRS)</w:t>
            </w:r>
            <w:r w:rsidDel="00000000" w:rsidR="00000000" w:rsidRPr="00000000">
              <w:rPr>
                <w:rtl w:val="0"/>
              </w:rPr>
            </w:r>
          </w:p>
        </w:tc>
      </w:tr>
    </w:tbl>
    <w:p w:rsidR="00000000" w:rsidDel="00000000" w:rsidP="00000000" w:rsidRDefault="00000000" w:rsidRPr="00000000" w14:paraId="00000030">
      <w:pPr>
        <w:spacing w:after="40" w:before="0" w:lineRule="auto"/>
        <w:rPr/>
      </w:pPr>
      <w:r w:rsidDel="00000000" w:rsidR="00000000" w:rsidRPr="00000000">
        <w:rPr>
          <w:rtl w:val="0"/>
        </w:rPr>
      </w:r>
    </w:p>
    <w:tbl>
      <w:tblPr>
        <w:tblStyle w:val="Table10"/>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5f5e3" w:val="clear"/>
            <w:tcMar>
              <w:top w:w="80.0" w:type="dxa"/>
              <w:left w:w="200.0" w:type="dxa"/>
              <w:bottom w:w="80.0" w:type="dxa"/>
              <w:right w:w="200.0" w:type="dxa"/>
            </w:tcMar>
          </w:tcPr>
          <w:p w:rsidR="00000000" w:rsidDel="00000000" w:rsidP="00000000" w:rsidRDefault="00000000" w:rsidRPr="00000000" w14:paraId="00000031">
            <w:pPr>
              <w:rPr/>
            </w:pPr>
            <w:r w:rsidDel="00000000" w:rsidR="00000000" w:rsidRPr="00000000">
              <w:rPr>
                <w:rFonts w:ascii="Arial" w:cs="Arial" w:eastAsia="Arial" w:hAnsi="Arial"/>
                <w:b w:val="1"/>
                <w:bCs w:val="1"/>
                <w:color w:val="117a65"/>
                <w:sz w:val="21"/>
                <w:szCs w:val="21"/>
                <w:rtl w:val="0"/>
              </w:rPr>
              <w:t xml:space="preserve">COMPÉTENCES &amp; LANGUES</w:t>
            </w:r>
            <w:r w:rsidDel="00000000" w:rsidR="00000000" w:rsidRPr="00000000">
              <w:rPr>
                <w:rtl w:val="0"/>
              </w:rPr>
            </w:r>
          </w:p>
        </w:tc>
      </w:tr>
    </w:tbl>
    <w:p w:rsidR="00000000" w:rsidDel="00000000" w:rsidP="00000000" w:rsidRDefault="00000000" w:rsidRPr="00000000" w14:paraId="00000032">
      <w:pPr>
        <w:spacing w:after="60" w:before="0" w:lineRule="auto"/>
        <w:rPr/>
      </w:pPr>
      <w:r w:rsidDel="00000000" w:rsidR="00000000" w:rsidRPr="00000000">
        <w:rPr>
          <w:rtl w:val="0"/>
        </w:rPr>
      </w:r>
    </w:p>
    <w:p w:rsidR="00000000" w:rsidDel="00000000" w:rsidP="00000000" w:rsidRDefault="00000000" w:rsidRPr="00000000" w14:paraId="00000033">
      <w:pPr>
        <w:spacing w:after="60" w:before="0" w:lineRule="auto"/>
        <w:rPr/>
      </w:pPr>
      <w:r w:rsidDel="00000000" w:rsidR="00000000" w:rsidRPr="00000000">
        <w:rPr>
          <w:rFonts w:ascii="Arial" w:cs="Arial" w:eastAsia="Arial" w:hAnsi="Arial"/>
          <w:b w:val="1"/>
          <w:bCs w:val="1"/>
          <w:color w:val="117a65"/>
          <w:sz w:val="19"/>
          <w:szCs w:val="19"/>
          <w:rtl w:val="0"/>
        </w:rPr>
        <w:t xml:space="preserve">Normes &amp; Référentiels : </w:t>
      </w:r>
      <w:r w:rsidDel="00000000" w:rsidR="00000000" w:rsidRPr="00000000">
        <w:rPr>
          <w:rFonts w:ascii="Arial" w:cs="Arial" w:eastAsia="Arial" w:hAnsi="Arial"/>
          <w:sz w:val="19"/>
          <w:szCs w:val="19"/>
          <w:rtl w:val="0"/>
        </w:rPr>
        <w:t xml:space="preserve">ISO 9001, ISO 22000, FSSC 22000, BPF, IFS, BRC  ·  </w:t>
      </w:r>
      <w:r w:rsidDel="00000000" w:rsidR="00000000" w:rsidRPr="00000000">
        <w:rPr>
          <w:rFonts w:ascii="Arial" w:cs="Arial" w:eastAsia="Arial" w:hAnsi="Arial"/>
          <w:b w:val="1"/>
          <w:bCs w:val="1"/>
          <w:color w:val="117a65"/>
          <w:sz w:val="19"/>
          <w:szCs w:val="19"/>
          <w:rtl w:val="0"/>
        </w:rPr>
        <w:t xml:space="preserve">Méthodes : </w:t>
      </w:r>
      <w:r w:rsidDel="00000000" w:rsidR="00000000" w:rsidRPr="00000000">
        <w:rPr>
          <w:rFonts w:ascii="Arial" w:cs="Arial" w:eastAsia="Arial" w:hAnsi="Arial"/>
          <w:sz w:val="19"/>
          <w:szCs w:val="19"/>
          <w:rtl w:val="0"/>
        </w:rPr>
        <w:t xml:space="preserve">Lean, 5S, 8D, AMDEC, HACCP, Kaizen</w:t>
      </w:r>
      <w:r w:rsidDel="00000000" w:rsidR="00000000" w:rsidRPr="00000000">
        <w:rPr>
          <w:rtl w:val="0"/>
        </w:rPr>
      </w:r>
    </w:p>
    <w:p w:rsidR="00000000" w:rsidDel="00000000" w:rsidP="00000000" w:rsidRDefault="00000000" w:rsidRPr="00000000" w14:paraId="00000034">
      <w:pPr>
        <w:spacing w:after="40" w:before="0" w:lineRule="auto"/>
        <w:rPr/>
      </w:pPr>
      <w:r w:rsidDel="00000000" w:rsidR="00000000" w:rsidRPr="00000000">
        <w:rPr>
          <w:rFonts w:ascii="Arial" w:cs="Arial" w:eastAsia="Arial" w:hAnsi="Arial"/>
          <w:b w:val="1"/>
          <w:bCs w:val="1"/>
          <w:color w:val="117a65"/>
          <w:sz w:val="19"/>
          <w:szCs w:val="19"/>
          <w:rtl w:val="0"/>
        </w:rPr>
        <w:t xml:space="preserve">Logiciels : </w:t>
      </w:r>
      <w:r w:rsidDel="00000000" w:rsidR="00000000" w:rsidRPr="00000000">
        <w:rPr>
          <w:rFonts w:ascii="Arial" w:cs="Arial" w:eastAsia="Arial" w:hAnsi="Arial"/>
          <w:sz w:val="19"/>
          <w:szCs w:val="19"/>
          <w:rtl w:val="0"/>
        </w:rPr>
        <w:t xml:space="preserve">SAP QM, Qualipilote, Pack Office  ·  </w:t>
      </w:r>
      <w:r w:rsidDel="00000000" w:rsidR="00000000" w:rsidRPr="00000000">
        <w:rPr>
          <w:rFonts w:ascii="Arial" w:cs="Arial" w:eastAsia="Arial" w:hAnsi="Arial"/>
          <w:b w:val="1"/>
          <w:bCs w:val="1"/>
          <w:color w:val="117a65"/>
          <w:sz w:val="19"/>
          <w:szCs w:val="19"/>
          <w:rtl w:val="0"/>
        </w:rPr>
        <w:t xml:space="preserve">Langues : </w:t>
      </w:r>
      <w:r w:rsidDel="00000000" w:rsidR="00000000" w:rsidRPr="00000000">
        <w:rPr>
          <w:rFonts w:ascii="Arial" w:cs="Arial" w:eastAsia="Arial" w:hAnsi="Arial"/>
          <w:sz w:val="19"/>
          <w:szCs w:val="19"/>
          <w:rtl w:val="0"/>
        </w:rPr>
        <w:t xml:space="preserve">Français (natif) — Anglais professionnel B2 (lecture documents techniques, réunions)</w:t>
      </w:r>
      <w:r w:rsidDel="00000000" w:rsidR="00000000" w:rsidRPr="00000000">
        <w:rPr>
          <w:rtl w:val="0"/>
        </w:rPr>
      </w:r>
    </w:p>
    <w:sectPr>
      <w:pgSz w:h="16838" w:w="11906" w:orient="portrait"/>
      <w:pgMar w:bottom="850.3937007874016"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