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0"/>
        <w:gridCol w:w="8506"/>
        <w:tblGridChange w:id="0">
          <w:tblGrid>
            <w:gridCol w:w="1700"/>
            <w:gridCol w:w="8506"/>
          </w:tblGrid>
        </w:tblGridChange>
      </w:tblGrid>
      <w:tr>
        <w:trPr>
          <w:cantSplit w:val="0"/>
          <w:tblHeader w:val="0"/>
        </w:trPr>
        <w:tc>
          <w:tcPr>
            <w:tcMar>
              <w:top w:w="40.0" w:type="dxa"/>
              <w:left w:w="40.0" w:type="dxa"/>
              <w:bottom w:w="40.0" w:type="dxa"/>
              <w:right w:w="40.0" w:type="dxa"/>
            </w:tcMar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838200" cy="1000125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00" cy="10001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30.0" w:type="dxa"/>
              <w:left w:w="220.0" w:type="dxa"/>
              <w:bottom w:w="30.0" w:type="dxa"/>
              <w:right w:w="0.0" w:type="dxa"/>
            </w:tcMar>
          </w:tcPr>
          <w:p w:rsidR="00000000" w:rsidDel="00000000" w:rsidP="00000000" w:rsidRDefault="00000000" w:rsidRPr="00000000" w14:paraId="00000003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b2631"/>
                <w:sz w:val="42"/>
                <w:szCs w:val="42"/>
                <w:rtl w:val="0"/>
              </w:rPr>
              <w:t xml:space="preserve">PIERRE LECONTE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4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1a5276"/>
                <w:sz w:val="22"/>
                <w:szCs w:val="22"/>
                <w:rtl w:val="0"/>
              </w:rPr>
              <w:t xml:space="preserve">Directeur Commercial | 15 ans d'expérience B2B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9"/>
                <w:szCs w:val="19"/>
                <w:rtl w:val="0"/>
              </w:rPr>
              <w:t xml:space="preserve">pierre.leconte@email.com   |   +33 6 12 23 34 45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2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9"/>
                <w:szCs w:val="19"/>
                <w:rtl w:val="0"/>
              </w:rPr>
              <w:t xml:space="preserve">Strasbourg, France   |   linkedin.com/in/pierre-leconte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8"/>
                <w:szCs w:val="18"/>
                <w:rtl w:val="0"/>
              </w:rPr>
              <w:t xml:space="preserve">En recherche active — Disponible sous 1 mois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spacing w:after="18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2"/>
          <w:szCs w:val="22"/>
          <w:rtl w:val="0"/>
        </w:rPr>
        <w:t xml:space="preserve">SYNTHÈSE PROFESSIONNELLE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1a5276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80" w:before="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Directeur Commercial expérimenté (15 ans) dans les secteurs industrie et services aux entreprises. Expertise avérée dans le développement de portefeuilles clients grands comptes (CA géré jusqu'à 12M€), le management d'équipes commerciales (12 personnes max.) et la mise en place de stratégies de croissance B2B. Bilan de reconversion suite à restructuration d'entreprise — recherche un nouveau challenge à impact.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2"/>
          <w:szCs w:val="22"/>
          <w:rtl w:val="0"/>
        </w:rPr>
        <w:t xml:space="preserve">RÉALISATIONS CLÉS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bottom w:color="1a5276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20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3"/>
        <w:gridCol w:w="3781"/>
        <w:gridCol w:w="3212"/>
        <w:tblGridChange w:id="0">
          <w:tblGrid>
            <w:gridCol w:w="3213"/>
            <w:gridCol w:w="3781"/>
            <w:gridCol w:w="3212"/>
          </w:tblGrid>
        </w:tblGridChange>
      </w:tblGrid>
      <w:tr>
        <w:trPr>
          <w:cantSplit w:val="0"/>
          <w:tblHeader w:val="0"/>
        </w:trPr>
        <w:tc>
          <w:tcPr>
            <w:shd w:fill="ebf5fb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spacing w:after="3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40"/>
                <w:szCs w:val="40"/>
                <w:rtl w:val="0"/>
              </w:rPr>
              <w:t xml:space="preserve">+38%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de CA en 3 ans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sur le périmètre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france entière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bf5fb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spacing w:after="3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40"/>
                <w:szCs w:val="40"/>
                <w:rtl w:val="0"/>
              </w:rPr>
              <w:t xml:space="preserve">12M€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de CA annuel géré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en tant que Dir.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Commercial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bf5fb" w:val="clear"/>
            <w:tcMar>
              <w:top w:w="120.0" w:type="dxa"/>
              <w:left w:w="120.0" w:type="dxa"/>
              <w:bottom w:w="12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spacing w:after="3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40"/>
                <w:szCs w:val="40"/>
                <w:rtl w:val="0"/>
              </w:rPr>
              <w:t xml:space="preserve">92%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de taux de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fidélisation clients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20" w:before="0" w:lineRule="auto"/>
              <w:jc w:val="center"/>
              <w:rPr/>
            </w:pPr>
            <w:r w:rsidDel="00000000" w:rsidR="00000000" w:rsidRPr="00000000">
              <w:rPr>
                <w:rFonts w:ascii="Arial" w:cs="Arial" w:eastAsia="Arial" w:hAnsi="Arial"/>
                <w:color w:val="555555"/>
                <w:sz w:val="16"/>
                <w:szCs w:val="16"/>
                <w:rtl w:val="0"/>
              </w:rPr>
              <w:t xml:space="preserve">sur 5 ans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2"/>
          <w:szCs w:val="22"/>
          <w:rtl w:val="0"/>
        </w:rPr>
        <w:t xml:space="preserve">EXPÉRIENCES PROFESSIONNELLES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bottom w:color="1a5276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40" w:before="1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2631"/>
          <w:sz w:val="22"/>
          <w:szCs w:val="22"/>
          <w:rtl w:val="0"/>
        </w:rPr>
        <w:t xml:space="preserve">Directeur Commercial France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Groupe Technimétal (industrie, 800 pers.)  — 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Mars 2018 – Décembre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Direction d'une équipe de 12 commerciaux terrain et sédentaires (objectifs, formation, recrutement)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Gestion d'un portefeuille de 80 comptes clients grands comptes (collectivités, ETI industrielles)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Déploiement d'une stratégie Account Based Marketing — +38% de CA en 3 ans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Négociation et signature de contrats cadre multi-annuels (valeur unitaire 200k€ à 1,5M€)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Implémentation et adoption du CRM Salesforce — 100% équipe active en 4 mois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Départ suite à plan de restructuration (suppression du poste de Directeur Commercial France)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40" w:before="1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2631"/>
          <w:sz w:val="22"/>
          <w:szCs w:val="22"/>
          <w:rtl w:val="0"/>
        </w:rPr>
        <w:t xml:space="preserve">Responsable Comptes Clés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Dataserv Solutions (SaaS B2B)  — 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Septembre 2014 – Février 2018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Développement d'un portefeuille de 25 comptes nationaux (CA géré : 4,2M€)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Taux de renouvellement des contrats annuels : 94%  — au-dessus de l'objectif de 85%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Coordination avec les équipes produit et delivery pour les projets clients stratégiques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40" w:before="13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b2631"/>
          <w:sz w:val="22"/>
          <w:szCs w:val="22"/>
          <w:rtl w:val="0"/>
        </w:rPr>
        <w:t xml:space="preserve">Ingénieur Commercial Senior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60" w:before="0" w:lineRule="auto"/>
        <w:rPr/>
      </w:pPr>
      <w:r w:rsidDel="00000000" w:rsidR="00000000" w:rsidRPr="00000000">
        <w:rPr>
          <w:rFonts w:ascii="Arial" w:cs="Arial" w:eastAsia="Arial" w:hAnsi="Arial"/>
          <w:color w:val="555555"/>
          <w:sz w:val="19"/>
          <w:szCs w:val="19"/>
          <w:rtl w:val="0"/>
        </w:rPr>
        <w:t xml:space="preserve">Atos SE — Division Infrastructure  —  </w:t>
      </w:r>
      <w:r w:rsidDel="00000000" w:rsidR="00000000" w:rsidRPr="00000000">
        <w:rPr>
          <w:rFonts w:ascii="Arial" w:cs="Arial" w:eastAsia="Arial" w:hAnsi="Arial"/>
          <w:i w:val="1"/>
          <w:iCs w:val="1"/>
          <w:color w:val="888888"/>
          <w:sz w:val="18"/>
          <w:szCs w:val="18"/>
          <w:rtl w:val="0"/>
        </w:rPr>
        <w:t xml:space="preserve">Juillet 2010 – Août 2014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Prospection et développement de comptes dans le secteur bancaire et assurance (Île-de-France)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5" w:before="0" w:line="240" w:lineRule="auto"/>
        <w:ind w:left="400" w:right="0" w:hanging="20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333333"/>
          <w:sz w:val="19"/>
          <w:szCs w:val="19"/>
          <w:u w:val="none"/>
          <w:shd w:fill="auto" w:val="clear"/>
          <w:vertAlign w:val="baseline"/>
          <w:rtl w:val="0"/>
        </w:rPr>
        <w:t xml:space="preserve">Réalisation de réponses à appels d'offres complexes (lots techniques + commerciaux)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2"/>
          <w:szCs w:val="22"/>
          <w:rtl w:val="0"/>
        </w:rPr>
        <w:t xml:space="preserve">FORMATION &amp; CERTIFICATIONS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bottom w:color="1a5276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40" w:before="1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1"/>
          <w:szCs w:val="21"/>
          <w:rtl w:val="0"/>
        </w:rPr>
        <w:t xml:space="preserve">MBA Management Stratégique &amp; Commercial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before="0" w:lineRule="auto"/>
        <w:rPr/>
      </w:pPr>
      <w:r w:rsidDel="00000000" w:rsidR="00000000" w:rsidRPr="00000000">
        <w:rPr>
          <w:rFonts w:ascii="Arial" w:cs="Arial" w:eastAsia="Arial" w:hAnsi="Arial"/>
          <w:color w:val="666666"/>
          <w:sz w:val="19"/>
          <w:szCs w:val="19"/>
          <w:rtl w:val="0"/>
        </w:rPr>
        <w:t xml:space="preserve">ESSEC Business School  ·  2008 – 2010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40" w:before="60" w:lineRule="auto"/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Licence Mathématiques Appliquées — Université Paris XI  ·  2005 – 2008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40" w:before="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19"/>
          <w:szCs w:val="19"/>
          <w:rtl w:val="0"/>
        </w:rPr>
        <w:t xml:space="preserve">Certifications : </w:t>
      </w:r>
      <w:r w:rsidDel="00000000" w:rsidR="00000000" w:rsidRPr="00000000">
        <w:rPr>
          <w:rFonts w:ascii="Arial" w:cs="Arial" w:eastAsia="Arial" w:hAnsi="Arial"/>
          <w:sz w:val="19"/>
          <w:szCs w:val="19"/>
          <w:rtl w:val="0"/>
        </w:rPr>
        <w:t xml:space="preserve">Salesforce Certified Sales Cloud Consultant (2022)  ·  Certification Manager Coach (2020)  ·  TOEIC 945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6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60" w:before="220" w:lineRule="auto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1a5276"/>
          <w:sz w:val="22"/>
          <w:szCs w:val="22"/>
          <w:rtl w:val="0"/>
        </w:rPr>
        <w:t xml:space="preserve">COMPÉTENCES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bottom w:color="1a5276" w:space="1" w:sz="5" w:val="single"/>
        </w:pBdr>
        <w:spacing w:after="12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206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13"/>
        <w:gridCol w:w="3781"/>
        <w:gridCol w:w="3212"/>
        <w:tblGridChange w:id="0">
          <w:tblGrid>
            <w:gridCol w:w="3213"/>
            <w:gridCol w:w="3781"/>
            <w:gridCol w:w="321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8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8"/>
                <w:szCs w:val="18"/>
                <w:rtl w:val="0"/>
              </w:rPr>
              <w:t xml:space="preserve">Commercial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Négociation complexe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Key Account Management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Prévisions de ventes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Appels d'offres B2B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3D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8"/>
                <w:szCs w:val="18"/>
                <w:rtl w:val="0"/>
              </w:rPr>
              <w:t xml:space="preserve">Management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Animation d'équipes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Fixation d'objectifs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Coaching &amp; Recrutement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Gestion des performances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60.0" w:type="dxa"/>
              <w:left w:w="0.0" w:type="dxa"/>
              <w:bottom w:w="60.0" w:type="dxa"/>
              <w:right w:w="80.0" w:type="dxa"/>
            </w:tcMar>
          </w:tcPr>
          <w:p w:rsidR="00000000" w:rsidDel="00000000" w:rsidP="00000000" w:rsidRDefault="00000000" w:rsidRPr="00000000" w14:paraId="00000042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1a5276"/>
                <w:sz w:val="18"/>
                <w:szCs w:val="18"/>
                <w:rtl w:val="0"/>
              </w:rPr>
              <w:t xml:space="preserve">Outils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Salesforce CRM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HubSpot, Pipedrive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Power BI, Tableau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30" w:before="0" w:lineRule="auto"/>
              <w:rPr/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Pack Office Expert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850.3937007874016" w:top="566.9291338582677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400" w:hanging="20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